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6B4FA1"/>
          <w:sz w:val="62"/>
        </w:rPr>
        <w:t>BEYOND THE ALTER</w:t>
      </w:r>
    </w:p>
    <w:p>
      <w:pPr>
        <w:jc w:val="center"/>
      </w:pPr>
      <w:r>
        <w:rPr>
          <w:b/>
          <w:sz w:val="48"/>
        </w:rPr>
        <w:t>CARE TOOLKIT</w:t>
      </w:r>
    </w:p>
    <w:p>
      <w:pPr>
        <w:spacing w:before="320"/>
        <w:jc w:val="center"/>
      </w:pPr>
      <w:r>
        <w:rPr>
          <w:i/>
          <w:sz w:val="32"/>
        </w:rPr>
        <w:t>From Understanding to Response</w:t>
      </w:r>
    </w:p>
    <w:p>
      <w:pPr>
        <w:spacing w:before="560"/>
        <w:jc w:val="center"/>
      </w:pPr>
      <w:r>
        <w:rPr>
          <w:sz w:val="24"/>
        </w:rPr>
        <w:t>Scripts • Case Studies • Decision Paths • Referral &amp; Crisis Guidance</w:t>
        <w:br/>
        <w:t>Caregiver Protocols • Church Implementation Blueprint</w:t>
      </w:r>
    </w:p>
    <w:p>
      <w:pPr>
        <w:spacing w:before="1100"/>
        <w:jc w:val="center"/>
      </w:pPr>
      <w:r>
        <w:rPr>
          <w:b/>
          <w:sz w:val="30"/>
        </w:rPr>
        <w:t>Amethyst Roberson</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PURPOSE</w:t>
            </w:r>
          </w:p>
          <w:p>
            <w:r>
              <w:rPr>
                <w:b/>
                <w:sz w:val="22"/>
              </w:rPr>
              <w:t>The book changes how they see. The revelations change how they understand. The toolkit changes how they respond.</w:t>
            </w:r>
          </w:p>
        </w:tc>
      </w:tr>
    </w:tbl>
    <w:p>
      <w:pPr>
        <w:spacing w:after="0"/>
      </w:pPr>
    </w:p>
    <w:p>
      <w:pPr>
        <w:pStyle w:val="Heading1"/>
        <w:pageBreakBefore/>
      </w:pPr>
      <w:r>
        <w:t>How to Use This Toolkit</w:t>
      </w:r>
    </w:p>
    <w:p>
      <w:r>
        <w:rPr>
          <w:i w:val="0"/>
        </w:rPr>
        <w:t>This toolkit is designed for pastors, ministers, lay caregivers, ministry leaders, family members, and faith communities who want practical language and structure for walking with hurting people. It is not a substitute for clinical assessment, psychotherapy, medical care, emergency services, legal advice, or safeguarding procedures.</w:t>
      </w:r>
    </w:p>
    <w:tbl>
      <w:tblPr>
        <w:tblW w:type="auto" w:w="0"/>
        <w:jc w:val="center"/>
        <w:tblLayout w:type="autofit"/>
        <w:tblLook w:firstColumn="1" w:firstRow="1" w:lastColumn="0" w:lastRow="0" w:noHBand="0" w:noVBand="1" w:val="04A0"/>
      </w:tblPr>
      <w:tblGrid>
        <w:gridCol w:w="10166"/>
      </w:tblGrid>
      <w:tr>
        <w:tc>
          <w:tcPr>
            <w:tcW w:type="dxa" w:w="10166"/>
            <w:shd w:fill="EEE8F7"/>
            <w:tcMar>
              <w:top w:w="110" w:type="dxa"/>
              <w:start w:w="140" w:type="dxa"/>
              <w:bottom w:w="110" w:type="dxa"/>
              <w:end w:w="140" w:type="dxa"/>
            </w:tcMar>
          </w:tcPr>
          <w:p>
            <w:r>
              <w:rPr>
                <w:b/>
                <w:color w:val="6B4FA1"/>
                <w:sz w:val="18"/>
              </w:rPr>
              <w:t>CORE DISTINCTION</w:t>
            </w:r>
          </w:p>
          <w:p>
            <w:r>
              <w:rPr>
                <w:b/>
                <w:sz w:val="22"/>
              </w:rPr>
              <w:t>Recognition is not diagnosis. Compassion is not clinical treatment. Referral is not abandonment.</w:t>
            </w:r>
          </w:p>
        </w:tc>
      </w:tr>
    </w:tbl>
    <w:p>
      <w:pPr>
        <w:spacing w:after="0"/>
      </w:pPr>
    </w:p>
    <w:p>
      <w:r>
        <w:rPr>
          <w:i w:val="0"/>
        </w:rPr>
        <w:t>The tools are organized around the RISE care framework and the Carry Well / 3C teaching found throughout Beyond the Alter. They are meant to help a caregiver slow down, notice what is happening, respond within role and capacity, and connect a person to additional support when needed.</w:t>
      </w:r>
    </w:p>
    <w:p>
      <w:pPr>
        <w:pStyle w:val="Heading2"/>
      </w:pPr>
      <w:r>
        <w:t>Three Ways to Use It</w:t>
      </w:r>
    </w:p>
    <w:p>
      <w:pPr>
        <w:pStyle w:val="ListBullet"/>
        <w:spacing w:after="40"/>
      </w:pPr>
      <w:r>
        <w:t>In the moment: use the quick-reference pages, scripts, decision paths, and boundary language.</w:t>
      </w:r>
    </w:p>
    <w:p>
      <w:pPr>
        <w:pStyle w:val="ListBullet"/>
        <w:spacing w:after="40"/>
      </w:pPr>
      <w:r>
        <w:t>In training: use the case studies and reflection questions with ministry teams, pastoral staff, lay caregivers, and family-support groups.</w:t>
      </w:r>
    </w:p>
    <w:p>
      <w:pPr>
        <w:pStyle w:val="ListBullet"/>
        <w:spacing w:after="40"/>
      </w:pPr>
      <w:r>
        <w:t>In church systems: use the implementation blueprint to build referral relationships, crisis procedures, privacy practices, caregiver support, and role clarity before a crisis occurs.</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Healing is holy work. And holy work requires holy strategy.</w:t>
            </w:r>
          </w:p>
        </w:tc>
      </w:tr>
    </w:tbl>
    <w:p>
      <w:pPr>
        <w:spacing w:after="0"/>
      </w:pPr>
    </w:p>
    <w:p>
      <w:pPr>
        <w:pStyle w:val="Heading2"/>
      </w:pPr>
      <w:r>
        <w:t>Publication &amp; Safety Note</w:t>
      </w:r>
    </w:p>
    <w:p>
      <w:r>
        <w:rPr>
          <w:i w:val="0"/>
        </w:rPr>
        <w:t>Safety guidance in this toolkit has been aligned with current U.S. suicide-prevention and crisis resources from NIMH, SAMHSA, and the 988 Suicide &amp; Crisis Lifeline. Abuse-reporting and clergy-confidentiality duties vary by jurisdiction; churches should have local counsel and safeguarding professionals review policy before publication or implementation. Scripture quotations and translation wording should also receive a final permissions and reference check.</w:t>
      </w:r>
    </w:p>
    <w:p>
      <w:pPr>
        <w:pStyle w:val="Heading1"/>
        <w:pageBreakBefore/>
      </w:pPr>
      <w:r>
        <w:t>Quick Start: When Someone Comes to You Hurting</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REMEMBER</w:t>
            </w:r>
          </w:p>
          <w:p>
            <w:r>
              <w:rPr>
                <w:b/>
                <w:sz w:val="22"/>
              </w:rPr>
              <w:t>You do not need to know everything to respond responsibly.</w:t>
            </w:r>
          </w:p>
        </w:tc>
      </w:tr>
    </w:tbl>
    <w:p>
      <w:pPr>
        <w:spacing w:after="0"/>
      </w:pPr>
    </w:p>
    <w:p>
      <w:pPr>
        <w:pStyle w:val="Heading2"/>
      </w:pPr>
      <w:r>
        <w:t>The First Five Minutes</w:t>
      </w:r>
    </w:p>
    <w:p>
      <w:pPr>
        <w:pStyle w:val="ListNumber"/>
        <w:spacing w:after="40"/>
      </w:pPr>
      <w:r>
        <w:t>Regulate yourself. Slow your pace, lower urgency, and become present before trying to solve.</w:t>
      </w:r>
    </w:p>
    <w:p>
      <w:pPr>
        <w:pStyle w:val="ListNumber"/>
        <w:spacing w:after="40"/>
      </w:pPr>
      <w:r>
        <w:t>Create privacy appropriate to the setting while maintaining safety and organizational policy.</w:t>
      </w:r>
    </w:p>
    <w:p>
      <w:pPr>
        <w:pStyle w:val="ListNumber"/>
        <w:spacing w:after="40"/>
      </w:pPr>
      <w:r>
        <w:t>Listen for the story beneath the behavior: what changed, what hurts, what feels unsafe, and what they need right now.</w:t>
      </w:r>
    </w:p>
    <w:p>
      <w:pPr>
        <w:pStyle w:val="ListNumber"/>
        <w:spacing w:after="40"/>
      </w:pPr>
      <w:r>
        <w:t>Check for immediate safety concerns when the person expresses hopelessness, self-harm, suicide, violence, severe impairment, abuse, or inability to care for themselves.</w:t>
      </w:r>
    </w:p>
    <w:p>
      <w:pPr>
        <w:pStyle w:val="ListNumber"/>
        <w:spacing w:after="40"/>
      </w:pPr>
      <w:r>
        <w:t>Choose the next faithful step: presence, practical support, boundary, referral, crisis connection, or emergency action.</w:t>
      </w:r>
    </w:p>
    <w:p>
      <w:pPr>
        <w:pStyle w:val="Heading2"/>
      </w:pPr>
      <w:r>
        <w:t>The RISE Question</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RISE</w:t>
            </w:r>
          </w:p>
        </w:tc>
        <w:tc>
          <w:tcPr>
            <w:tcW w:type="dxa" w:w="5083"/>
            <w:shd w:fill="6B4FA1"/>
          </w:tcPr>
          <w:p>
            <w:r>
              <w:rPr>
                <w:b/>
                <w:color w:val="FFFFFF"/>
              </w:rPr>
              <w:t>Ask Yourself</w:t>
            </w:r>
          </w:p>
        </w:tc>
      </w:tr>
      <w:tr>
        <w:tc>
          <w:tcPr>
            <w:tcW w:type="dxa" w:w="5083"/>
            <w:vAlign w:val="top"/>
            <w:tcMar>
              <w:top w:w="80" w:type="dxa"/>
              <w:start w:w="90" w:type="dxa"/>
              <w:bottom w:w="80" w:type="dxa"/>
              <w:end w:w="90" w:type="dxa"/>
            </w:tcMar>
          </w:tcPr>
          <w:p>
            <w:pPr>
              <w:spacing w:after="40"/>
            </w:pPr>
            <w:r>
              <w:rPr>
                <w:sz w:val="18"/>
              </w:rPr>
              <w:t>Recognize</w:t>
            </w:r>
          </w:p>
        </w:tc>
        <w:tc>
          <w:tcPr>
            <w:tcW w:type="dxa" w:w="5083"/>
            <w:vAlign w:val="top"/>
            <w:tcMar>
              <w:top w:w="80" w:type="dxa"/>
              <w:start w:w="90" w:type="dxa"/>
              <w:bottom w:w="80" w:type="dxa"/>
              <w:end w:w="90" w:type="dxa"/>
            </w:tcMar>
          </w:tcPr>
          <w:p>
            <w:pPr>
              <w:spacing w:after="40"/>
            </w:pPr>
            <w:r>
              <w:rPr>
                <w:sz w:val="18"/>
              </w:rPr>
              <w:t>What is actually happening? What changed? What do I know, and what am I assuming?</w:t>
            </w:r>
          </w:p>
        </w:tc>
      </w:tr>
      <w:tr>
        <w:tc>
          <w:tcPr>
            <w:tcW w:type="dxa" w:w="5083"/>
            <w:vAlign w:val="top"/>
            <w:tcMar>
              <w:top w:w="80" w:type="dxa"/>
              <w:start w:w="90" w:type="dxa"/>
              <w:bottom w:w="80" w:type="dxa"/>
              <w:end w:w="90" w:type="dxa"/>
            </w:tcMar>
          </w:tcPr>
          <w:p>
            <w:pPr>
              <w:spacing w:after="40"/>
            </w:pPr>
            <w:r>
              <w:rPr>
                <w:sz w:val="18"/>
              </w:rPr>
              <w:t>Intervene / Implement</w:t>
            </w:r>
          </w:p>
        </w:tc>
        <w:tc>
          <w:tcPr>
            <w:tcW w:type="dxa" w:w="5083"/>
            <w:vAlign w:val="top"/>
            <w:tcMar>
              <w:top w:w="80" w:type="dxa"/>
              <w:start w:w="90" w:type="dxa"/>
              <w:bottom w:w="80" w:type="dxa"/>
              <w:end w:w="90" w:type="dxa"/>
            </w:tcMar>
          </w:tcPr>
          <w:p>
            <w:pPr>
              <w:spacing w:after="40"/>
            </w:pPr>
            <w:r>
              <w:rPr>
                <w:sz w:val="18"/>
              </w:rPr>
              <w:t>What is the least intrusive, most responsible next step I can take?</w:t>
            </w:r>
          </w:p>
        </w:tc>
      </w:tr>
      <w:tr>
        <w:tc>
          <w:tcPr>
            <w:tcW w:type="dxa" w:w="5083"/>
            <w:vAlign w:val="top"/>
            <w:tcMar>
              <w:top w:w="80" w:type="dxa"/>
              <w:start w:w="90" w:type="dxa"/>
              <w:bottom w:w="80" w:type="dxa"/>
              <w:end w:w="90" w:type="dxa"/>
            </w:tcMar>
          </w:tcPr>
          <w:p>
            <w:pPr>
              <w:spacing w:after="40"/>
            </w:pPr>
            <w:r>
              <w:rPr>
                <w:sz w:val="18"/>
              </w:rPr>
              <w:t>Steward</w:t>
            </w:r>
          </w:p>
        </w:tc>
        <w:tc>
          <w:tcPr>
            <w:tcW w:type="dxa" w:w="5083"/>
            <w:vAlign w:val="top"/>
            <w:tcMar>
              <w:top w:w="80" w:type="dxa"/>
              <w:start w:w="90" w:type="dxa"/>
              <w:bottom w:w="80" w:type="dxa"/>
              <w:end w:w="90" w:type="dxa"/>
            </w:tcMar>
          </w:tcPr>
          <w:p>
            <w:pPr>
              <w:spacing w:after="40"/>
            </w:pPr>
            <w:r>
              <w:rPr>
                <w:sz w:val="18"/>
              </w:rPr>
              <w:t>What is my role? What needs privacy, consultation, documentation, follow-up, or referral?</w:t>
            </w:r>
          </w:p>
        </w:tc>
      </w:tr>
      <w:tr>
        <w:tc>
          <w:tcPr>
            <w:tcW w:type="dxa" w:w="5083"/>
            <w:vAlign w:val="top"/>
            <w:tcMar>
              <w:top w:w="80" w:type="dxa"/>
              <w:start w:w="90" w:type="dxa"/>
              <w:bottom w:w="80" w:type="dxa"/>
              <w:end w:w="90" w:type="dxa"/>
            </w:tcMar>
          </w:tcPr>
          <w:p>
            <w:pPr>
              <w:spacing w:after="40"/>
            </w:pPr>
            <w:r>
              <w:rPr>
                <w:sz w:val="18"/>
              </w:rPr>
              <w:t>Empower</w:t>
            </w:r>
          </w:p>
        </w:tc>
        <w:tc>
          <w:tcPr>
            <w:tcW w:type="dxa" w:w="5083"/>
            <w:vAlign w:val="top"/>
            <w:tcMar>
              <w:top w:w="80" w:type="dxa"/>
              <w:start w:w="90" w:type="dxa"/>
              <w:bottom w:w="80" w:type="dxa"/>
              <w:end w:w="90" w:type="dxa"/>
            </w:tcMar>
          </w:tcPr>
          <w:p>
            <w:pPr>
              <w:spacing w:after="40"/>
            </w:pPr>
            <w:r>
              <w:rPr>
                <w:sz w:val="18"/>
              </w:rPr>
              <w:t>How do I leave this person with agency, support, and a next step rather than dependency on me?</w:t>
            </w:r>
          </w:p>
        </w:tc>
      </w:tr>
    </w:tbl>
    <w:p>
      <w:pPr>
        <w:pStyle w:val="Heading1"/>
        <w:pageBreakBefore/>
      </w:pPr>
      <w:r>
        <w:t>Tool 1 — The RISE Care Framework</w:t>
      </w:r>
    </w:p>
    <w:p>
      <w:r>
        <w:rPr>
          <w:i w:val="0"/>
        </w:rPr>
        <w:t>RISE is the primary response framework for Beyond the Alter: Recognize → Intervene/Implement → Steward → Empower. Your training material describes this as noticing what is happening, offering a wise and gentle response, handling what has been revealed with care, and leaving people with agency and hope.</w:t>
      </w:r>
    </w:p>
    <w:p>
      <w:pPr>
        <w:pStyle w:val="Heading2"/>
      </w:pPr>
      <w:r>
        <w:t>R — Recognize</w:t>
      </w:r>
    </w:p>
    <w:p>
      <w:r>
        <w:rPr>
          <w:i w:val="0"/>
        </w:rPr>
        <w:t>Recognition means paying attention without rushing to diagnose. Notice change, pattern, functioning, silence, relational context, and what the person is actually saying.</w:t>
      </w:r>
    </w:p>
    <w:p>
      <w:pPr>
        <w:pStyle w:val="Heading3"/>
      </w:pPr>
      <w:r>
        <w:t>Recognition Questions</w:t>
      </w:r>
    </w:p>
    <w:p>
      <w:pPr>
        <w:pStyle w:val="ListBullet"/>
        <w:spacing w:after="40"/>
      </w:pPr>
      <w:r>
        <w:t>What has changed from this person’s usual way of functioning?</w:t>
      </w:r>
    </w:p>
    <w:p>
      <w:pPr>
        <w:pStyle w:val="ListBullet"/>
        <w:spacing w:after="40"/>
      </w:pPr>
      <w:r>
        <w:t>How long has the change been present?</w:t>
      </w:r>
    </w:p>
    <w:p>
      <w:pPr>
        <w:pStyle w:val="ListBullet"/>
        <w:spacing w:after="40"/>
      </w:pPr>
      <w:r>
        <w:t>Is it affecting sleep, work, school, relationships, worship, self-care, or daily responsibilities?</w:t>
      </w:r>
    </w:p>
    <w:p>
      <w:pPr>
        <w:pStyle w:val="ListBullet"/>
        <w:spacing w:after="40"/>
      </w:pPr>
      <w:r>
        <w:t>Is the person withdrawing, increasingly hopeless, unusually agitated, or behaving in ways that concern others?</w:t>
      </w:r>
    </w:p>
    <w:p>
      <w:pPr>
        <w:pStyle w:val="ListBullet"/>
        <w:spacing w:after="40"/>
      </w:pPr>
      <w:r>
        <w:t>What loss, trauma, conflict, illness, transition, or stressor may be surrounding this?</w:t>
      </w:r>
    </w:p>
    <w:p>
      <w:pPr>
        <w:pStyle w:val="ListBullet"/>
        <w:spacing w:after="40"/>
      </w:pPr>
      <w:r>
        <w:t>What do I know directly? What am I inferring?</w:t>
      </w:r>
    </w:p>
    <w:p>
      <w:pPr>
        <w:pStyle w:val="ListBullet"/>
        <w:spacing w:after="40"/>
      </w:pPr>
      <w:r>
        <w:t>Do I need to ask about immediate safety?</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You cannot heal what you will not name. You cannot cast out what you normalize.</w:t>
            </w:r>
          </w:p>
        </w:tc>
      </w:tr>
    </w:tbl>
    <w:p>
      <w:pPr>
        <w:spacing w:after="0"/>
      </w:pPr>
    </w:p>
    <w:p>
      <w:pPr>
        <w:pStyle w:val="Heading2"/>
      </w:pPr>
      <w:r>
        <w:t>I — Intervene / Implement</w:t>
      </w:r>
    </w:p>
    <w:p>
      <w:r>
        <w:rPr>
          <w:i w:val="0"/>
        </w:rPr>
        <w:t>Intervention is not automatically “fixing.” It can be prayer, presence, practical support, a boundary, a referral, or urgent safety action. The response should match the need and your role.</w:t>
      </w:r>
    </w:p>
    <w:p>
      <w:pPr>
        <w:pStyle w:val="Heading3"/>
      </w:pPr>
      <w:r>
        <w:t>Intervention Ladder</w:t>
      </w:r>
    </w:p>
    <w:p>
      <w:pPr>
        <w:pStyle w:val="ListNumber"/>
        <w:spacing w:after="40"/>
      </w:pPr>
      <w:r>
        <w:t>Presence: listen, stabilize the conversation, reduce shame, and communicate care.</w:t>
      </w:r>
    </w:p>
    <w:p>
      <w:pPr>
        <w:pStyle w:val="ListNumber"/>
        <w:spacing w:after="40"/>
      </w:pPr>
      <w:r>
        <w:t>Practical support: food, transportation, childcare, a quiet place, accompaniment, or help making a call when appropriate.</w:t>
      </w:r>
    </w:p>
    <w:p>
      <w:pPr>
        <w:pStyle w:val="ListNumber"/>
        <w:spacing w:after="40"/>
      </w:pPr>
      <w:r>
        <w:t>Pastoral/spiritual care: prayer, Scripture, spiritual encouragement, confession, lament, and community support—without using spiritual language to bypass danger or clinical need.</w:t>
      </w:r>
    </w:p>
    <w:p>
      <w:pPr>
        <w:pStyle w:val="ListNumber"/>
        <w:spacing w:after="40"/>
      </w:pPr>
      <w:r>
        <w:t>Referral: connect to a qualified mental-health, medical, substance-use, grief, domestic-violence, or social-service resource.</w:t>
      </w:r>
    </w:p>
    <w:p>
      <w:pPr>
        <w:pStyle w:val="ListNumber"/>
        <w:spacing w:after="40"/>
      </w:pPr>
      <w:r>
        <w:t>Crisis connection: involve 988 or another appropriate crisis service when emotional or suicidal crisis is present.</w:t>
      </w:r>
    </w:p>
    <w:p>
      <w:pPr>
        <w:pStyle w:val="ListNumber"/>
        <w:spacing w:after="40"/>
      </w:pPr>
      <w:r>
        <w:t>Emergency action: call 911 or local emergency services when there is imminent life-threatening danger, active violence, a medical emergency, or another situation requiring immediate emergency response.</w:t>
      </w:r>
    </w:p>
    <w:p>
      <w:pPr>
        <w:pStyle w:val="Heading2"/>
      </w:pPr>
      <w:r>
        <w:t>S — Steward</w:t>
      </w:r>
    </w:p>
    <w:p>
      <w:r>
        <w:rPr>
          <w:i w:val="0"/>
        </w:rPr>
        <w:t>Stewardship is what happens after something has been revealed. It includes role clarity, privacy, consultation, boundaries, follow-up, documentation when appropriate, and care for the caregiver.</w:t>
      </w:r>
    </w:p>
    <w:p>
      <w:pPr>
        <w:pStyle w:val="Heading3"/>
      </w:pPr>
      <w:r>
        <w:t>Stewardship Questions</w:t>
      </w:r>
    </w:p>
    <w:p>
      <w:pPr>
        <w:pStyle w:val="ListBullet"/>
        <w:spacing w:after="40"/>
      </w:pPr>
      <w:r>
        <w:t>What information actually needs to be shared, with whom, and why?</w:t>
      </w:r>
    </w:p>
    <w:p>
      <w:pPr>
        <w:pStyle w:val="ListBullet"/>
        <w:spacing w:after="40"/>
      </w:pPr>
      <w:r>
        <w:t>What am I responsible for—and what am I not responsible for?</w:t>
      </w:r>
    </w:p>
    <w:p>
      <w:pPr>
        <w:pStyle w:val="ListBullet"/>
        <w:spacing w:after="40"/>
      </w:pPr>
      <w:r>
        <w:t>Do I need consultation from a supervisor, pastor, licensed professional, safeguarding lead, or legal counsel?</w:t>
      </w:r>
    </w:p>
    <w:p>
      <w:pPr>
        <w:pStyle w:val="ListBullet"/>
        <w:spacing w:after="40"/>
      </w:pPr>
      <w:r>
        <w:t>What follow-up did I promise?</w:t>
      </w:r>
    </w:p>
    <w:p>
      <w:pPr>
        <w:pStyle w:val="ListBullet"/>
        <w:spacing w:after="40"/>
      </w:pPr>
      <w:r>
        <w:t>What boundary protects both the person and the caregiver?</w:t>
      </w:r>
    </w:p>
    <w:p>
      <w:pPr>
        <w:pStyle w:val="ListBullet"/>
        <w:spacing w:after="40"/>
      </w:pPr>
      <w:r>
        <w:t>What is this conversation doing to me, and what support do I need?</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Hope is not enough. Healing requires stewardship.</w:t>
            </w:r>
          </w:p>
        </w:tc>
      </w:tr>
    </w:tbl>
    <w:p>
      <w:pPr>
        <w:spacing w:after="0"/>
      </w:pPr>
    </w:p>
    <w:p>
      <w:pPr>
        <w:pStyle w:val="Heading2"/>
      </w:pPr>
      <w:r>
        <w:t>E — Empower</w:t>
      </w:r>
    </w:p>
    <w:p>
      <w:r>
        <w:rPr>
          <w:i w:val="0"/>
        </w:rPr>
        <w:t>Empowerment resists dependency. Healthy care supports the person’s ability to participate in decisions, use resources, practice skills, build support, and carry what is theirs.</w:t>
      </w:r>
    </w:p>
    <w:p>
      <w:pPr>
        <w:pStyle w:val="Heading3"/>
      </w:pPr>
      <w:r>
        <w:t>Empowerment Language</w:t>
      </w:r>
    </w:p>
    <w:p>
      <w:pPr>
        <w:pStyle w:val="ListBullet"/>
        <w:spacing w:after="40"/>
      </w:pPr>
      <w:r>
        <w:t>“What feels like the next step you are willing to take?”</w:t>
      </w:r>
    </w:p>
    <w:p>
      <w:pPr>
        <w:pStyle w:val="ListBullet"/>
        <w:spacing w:after="40"/>
      </w:pPr>
      <w:r>
        <w:t>“Would you like me to sit with you while you make that call, or would you prefer to do it privately?”</w:t>
      </w:r>
    </w:p>
    <w:p>
      <w:pPr>
        <w:pStyle w:val="ListBullet"/>
        <w:spacing w:after="40"/>
      </w:pPr>
      <w:r>
        <w:t>“Who else is safe and appropriate to include in your support system?”</w:t>
      </w:r>
    </w:p>
    <w:p>
      <w:pPr>
        <w:pStyle w:val="ListBullet"/>
        <w:spacing w:after="40"/>
      </w:pPr>
      <w:r>
        <w:t>“What do you want to be different after this conversation?”</w:t>
      </w:r>
    </w:p>
    <w:p>
      <w:pPr>
        <w:pStyle w:val="ListBullet"/>
        <w:spacing w:after="40"/>
      </w:pPr>
      <w:r>
        <w:t>“I can support you, but I cannot make this decision for you.”</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To empower is to walk healed—even while still healing—so others know it is possible.</w:t>
            </w:r>
          </w:p>
        </w:tc>
      </w:tr>
    </w:tbl>
    <w:p>
      <w:pPr>
        <w:spacing w:after="0"/>
      </w:pPr>
    </w:p>
    <w:p>
      <w:pPr>
        <w:pStyle w:val="Heading1"/>
        <w:pageBreakBefore/>
      </w:pPr>
      <w:r>
        <w:t>Tool 2 — Carry Well: The 3C Check</w:t>
      </w:r>
    </w:p>
    <w:p>
      <w:r>
        <w:rPr>
          <w:i w:val="0"/>
        </w:rPr>
        <w:t>Carry Well asks a necessary caregiving question: Is this mine to carry? Your source material names Capacity, Condition, and Courage, then adds the other person’s capacity when deciding whether care has shifted into rescuing.</w:t>
      </w:r>
    </w:p>
    <w:p>
      <w:pPr>
        <w:pStyle w:val="Heading2"/>
      </w:pPr>
      <w:r>
        <w:t>Capacity — What Can I Actually Carry Right Now?</w:t>
      </w:r>
    </w:p>
    <w:p>
      <w:pPr>
        <w:pStyle w:val="ListBullet"/>
        <w:spacing w:after="40"/>
      </w:pPr>
      <w:r>
        <w:t>Do I have emotional, spiritual, relational, physical, and time capacity for this?</w:t>
      </w:r>
    </w:p>
    <w:p>
      <w:pPr>
        <w:pStyle w:val="ListBullet"/>
        <w:spacing w:after="40"/>
      </w:pPr>
      <w:r>
        <w:t>Am I already depleted, grieving, sick, overloaded, or responsible for another crisis?</w:t>
      </w:r>
    </w:p>
    <w:p>
      <w:pPr>
        <w:pStyle w:val="ListBullet"/>
        <w:spacing w:after="40"/>
      </w:pPr>
      <w:r>
        <w:t>Am I the right person—or simply the available person?</w:t>
      </w:r>
    </w:p>
    <w:p>
      <w:pPr>
        <w:pStyle w:val="ListBullet"/>
        <w:spacing w:after="40"/>
      </w:pPr>
      <w:r>
        <w:t>Would saying yes require me to neglect responsibilities that are already mine?</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CARRY WELL TRUTH</w:t>
            </w:r>
          </w:p>
          <w:p>
            <w:r>
              <w:rPr>
                <w:b/>
                <w:sz w:val="22"/>
              </w:rPr>
              <w:t>Just because it was a yes before does not mean it is a yes now.</w:t>
            </w:r>
          </w:p>
        </w:tc>
      </w:tr>
    </w:tbl>
    <w:p>
      <w:pPr>
        <w:spacing w:after="0"/>
      </w:pPr>
    </w:p>
    <w:p>
      <w:pPr>
        <w:pStyle w:val="Heading2"/>
      </w:pPr>
      <w:r>
        <w:t>Condition — What Is Affecting Me That Others Cannot See?</w:t>
      </w:r>
    </w:p>
    <w:p>
      <w:pPr>
        <w:pStyle w:val="ListBullet"/>
        <w:spacing w:after="40"/>
      </w:pPr>
      <w:r>
        <w:t>Am I stepping in from peace—or guilt, fear, pressure, discomfort, urgency, or the need to be needed?</w:t>
      </w:r>
    </w:p>
    <w:p>
      <w:pPr>
        <w:pStyle w:val="ListBullet"/>
        <w:spacing w:after="40"/>
      </w:pPr>
      <w:r>
        <w:t>Does this situation activate my own history, trauma, family role, grief, or savior pattern?</w:t>
      </w:r>
    </w:p>
    <w:p>
      <w:pPr>
        <w:pStyle w:val="ListBullet"/>
        <w:spacing w:after="40"/>
      </w:pPr>
      <w:r>
        <w:t>Am I reacting to what is happening now, or to something this situation reminds me of?</w:t>
      </w:r>
    </w:p>
    <w:p>
      <w:pPr>
        <w:pStyle w:val="ListBullet"/>
        <w:spacing w:after="40"/>
      </w:pPr>
      <w:r>
        <w:t>Can I remain compassionate without losing perspective?</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CARRY WELL TRUTH</w:t>
            </w:r>
          </w:p>
          <w:p>
            <w:r>
              <w:rPr>
                <w:b/>
                <w:sz w:val="22"/>
              </w:rPr>
              <w:t>What you are carrying internally affects what you can carry externally.</w:t>
            </w:r>
          </w:p>
        </w:tc>
      </w:tr>
    </w:tbl>
    <w:p>
      <w:pPr>
        <w:spacing w:after="0"/>
      </w:pPr>
    </w:p>
    <w:p>
      <w:pPr>
        <w:pStyle w:val="Heading2"/>
      </w:pPr>
      <w:r>
        <w:t>Courage — What Do I Need to Honor?</w:t>
      </w:r>
    </w:p>
    <w:p>
      <w:pPr>
        <w:pStyle w:val="ListBullet"/>
        <w:spacing w:after="40"/>
      </w:pPr>
      <w:r>
        <w:t>Is the honest answer yes, no, not now, or I need help?</w:t>
      </w:r>
    </w:p>
    <w:p>
      <w:pPr>
        <w:pStyle w:val="ListBullet"/>
        <w:spacing w:after="40"/>
      </w:pPr>
      <w:r>
        <w:t>Do I need to set a boundary even if someone is disappointed?</w:t>
      </w:r>
    </w:p>
    <w:p>
      <w:pPr>
        <w:pStyle w:val="ListBullet"/>
        <w:spacing w:after="40"/>
      </w:pPr>
      <w:r>
        <w:t>Do I need to refer even if I wish I could solve it?</w:t>
      </w:r>
    </w:p>
    <w:p>
      <w:pPr>
        <w:pStyle w:val="ListBullet"/>
        <w:spacing w:after="40"/>
      </w:pPr>
      <w:r>
        <w:t>Do I need to acknowledge that I am affected by this?</w:t>
      </w:r>
    </w:p>
    <w:p>
      <w:pPr>
        <w:pStyle w:val="ListBullet"/>
        <w:spacing w:after="40"/>
      </w:pPr>
      <w:r>
        <w:t>Do I need to stop pushing through and tell the truth about my limits?</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CARRY WELL TRUTH</w:t>
            </w:r>
          </w:p>
          <w:p>
            <w:r>
              <w:rPr>
                <w:b/>
                <w:sz w:val="22"/>
              </w:rPr>
              <w:t>Courage is not pushing through. It is honoring what is true.</w:t>
            </w:r>
          </w:p>
        </w:tc>
      </w:tr>
    </w:tbl>
    <w:p>
      <w:pPr>
        <w:spacing w:after="0"/>
      </w:pPr>
    </w:p>
    <w:p>
      <w:pPr>
        <w:pStyle w:val="Heading2"/>
      </w:pPr>
      <w:r>
        <w:t>Capacity — Theirs</w:t>
      </w:r>
    </w:p>
    <w:p>
      <w:r>
        <w:rPr>
          <w:i w:val="0"/>
        </w:rPr>
        <w:t>Before taking over, ask whether the other person can carry some or all of the task themselves. Support can become rescue when the caregiver repeatedly replaces another person’s responsibility, growth, or agency.</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Pattern</w:t>
            </w:r>
          </w:p>
        </w:tc>
        <w:tc>
          <w:tcPr>
            <w:tcW w:type="dxa" w:w="5083"/>
            <w:shd w:fill="6B4FA1"/>
          </w:tcPr>
          <w:p>
            <w:r>
              <w:rPr>
                <w:b/>
                <w:color w:val="FFFFFF"/>
              </w:rPr>
              <w:t>What It Tends to Do</w:t>
            </w:r>
          </w:p>
        </w:tc>
      </w:tr>
      <w:tr>
        <w:tc>
          <w:tcPr>
            <w:tcW w:type="dxa" w:w="5083"/>
            <w:vAlign w:val="top"/>
            <w:tcMar>
              <w:top w:w="80" w:type="dxa"/>
              <w:start w:w="90" w:type="dxa"/>
              <w:bottom w:w="80" w:type="dxa"/>
              <w:end w:w="90" w:type="dxa"/>
            </w:tcMar>
          </w:tcPr>
          <w:p>
            <w:pPr>
              <w:spacing w:after="40"/>
            </w:pPr>
            <w:r>
              <w:rPr>
                <w:sz w:val="18"/>
              </w:rPr>
              <w:t>Helping</w:t>
            </w:r>
          </w:p>
        </w:tc>
        <w:tc>
          <w:tcPr>
            <w:tcW w:type="dxa" w:w="5083"/>
            <w:vAlign w:val="top"/>
            <w:tcMar>
              <w:top w:w="80" w:type="dxa"/>
              <w:start w:w="90" w:type="dxa"/>
              <w:bottom w:w="80" w:type="dxa"/>
              <w:end w:w="90" w:type="dxa"/>
            </w:tcMar>
          </w:tcPr>
          <w:p>
            <w:pPr>
              <w:spacing w:after="40"/>
            </w:pPr>
            <w:r>
              <w:rPr>
                <w:sz w:val="18"/>
              </w:rPr>
              <w:t>Supports action the person can participate in; strengthens skills, choice, and responsibility.</w:t>
            </w:r>
          </w:p>
        </w:tc>
      </w:tr>
      <w:tr>
        <w:tc>
          <w:tcPr>
            <w:tcW w:type="dxa" w:w="5083"/>
            <w:vAlign w:val="top"/>
            <w:tcMar>
              <w:top w:w="80" w:type="dxa"/>
              <w:start w:w="90" w:type="dxa"/>
              <w:bottom w:w="80" w:type="dxa"/>
              <w:end w:w="90" w:type="dxa"/>
            </w:tcMar>
          </w:tcPr>
          <w:p>
            <w:pPr>
              <w:spacing w:after="40"/>
            </w:pPr>
            <w:r>
              <w:rPr>
                <w:sz w:val="18"/>
              </w:rPr>
              <w:t>Rescuing</w:t>
            </w:r>
          </w:p>
        </w:tc>
        <w:tc>
          <w:tcPr>
            <w:tcW w:type="dxa" w:w="5083"/>
            <w:vAlign w:val="top"/>
            <w:tcMar>
              <w:top w:w="80" w:type="dxa"/>
              <w:start w:w="90" w:type="dxa"/>
              <w:bottom w:w="80" w:type="dxa"/>
              <w:end w:w="90" w:type="dxa"/>
            </w:tcMar>
          </w:tcPr>
          <w:p>
            <w:pPr>
              <w:spacing w:after="40"/>
            </w:pPr>
            <w:r>
              <w:rPr>
                <w:sz w:val="18"/>
              </w:rPr>
              <w:t>Repeatedly takes over what the person can reasonably do; relieves short-term discomfort while increasing dependency or caregiver depletion.</w:t>
            </w:r>
          </w:p>
        </w:tc>
      </w:tr>
    </w:tbl>
    <w:p>
      <w:pPr>
        <w:pStyle w:val="Heading2"/>
      </w:pPr>
      <w:r>
        <w:t>The 3C Pause — Before You Say Yes</w:t>
      </w:r>
    </w:p>
    <w:p>
      <w:r>
        <w:rPr>
          <w:b/>
        </w:rPr>
        <w:t>CAPACITY — Do I have room?</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CONDITION — What am I carrying?</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COURAGE — What is the honest answer?</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THEIR CAPACITY — What can they reasonably do themselves?</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Tool 3 — Helping vs. Rescuing Check</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CARE WISDOM</w:t>
            </w:r>
          </w:p>
          <w:p>
            <w:r>
              <w:rPr>
                <w:b/>
                <w:sz w:val="22"/>
              </w:rPr>
              <w:t>If you override your capacity, ignore your condition, or avoid courage, you do not end up helping—you end up rescuing. And rescuing always costs you something.</w:t>
            </w:r>
          </w:p>
        </w:tc>
      </w:tr>
    </w:tbl>
    <w:p>
      <w:pPr>
        <w:spacing w:after="0"/>
      </w:pPr>
    </w:p>
    <w:p>
      <w:pPr>
        <w:pStyle w:val="Heading2"/>
      </w:pPr>
      <w:r>
        <w:t>Fast Check</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Question</w:t>
            </w:r>
          </w:p>
        </w:tc>
        <w:tc>
          <w:tcPr>
            <w:tcW w:type="dxa" w:w="5083"/>
            <w:shd w:fill="6B4FA1"/>
          </w:tcPr>
          <w:p>
            <w:r>
              <w:rPr>
                <w:b/>
                <w:color w:val="FFFFFF"/>
              </w:rPr>
              <w:t>Discernment</w:t>
            </w:r>
          </w:p>
        </w:tc>
      </w:tr>
      <w:tr>
        <w:tc>
          <w:tcPr>
            <w:tcW w:type="dxa" w:w="5083"/>
            <w:vAlign w:val="top"/>
            <w:tcMar>
              <w:top w:w="80" w:type="dxa"/>
              <w:start w:w="90" w:type="dxa"/>
              <w:bottom w:w="80" w:type="dxa"/>
              <w:end w:w="90" w:type="dxa"/>
            </w:tcMar>
          </w:tcPr>
          <w:p>
            <w:pPr>
              <w:spacing w:after="40"/>
            </w:pPr>
            <w:r>
              <w:rPr>
                <w:sz w:val="18"/>
              </w:rPr>
              <w:t>Was I asked to do what I am doing?</w:t>
            </w:r>
          </w:p>
        </w:tc>
        <w:tc>
          <w:tcPr>
            <w:tcW w:type="dxa" w:w="5083"/>
            <w:vAlign w:val="top"/>
            <w:tcMar>
              <w:top w:w="80" w:type="dxa"/>
              <w:start w:w="90" w:type="dxa"/>
              <w:bottom w:w="80" w:type="dxa"/>
              <w:end w:w="90" w:type="dxa"/>
            </w:tcMar>
          </w:tcPr>
          <w:p>
            <w:pPr>
              <w:spacing w:after="40"/>
            </w:pPr>
            <w:r>
              <w:rPr>
                <w:sz w:val="18"/>
              </w:rPr>
              <w:t>If not, pause. Is this necessary for safety, or am I assuming responsibility?</w:t>
            </w:r>
          </w:p>
        </w:tc>
      </w:tr>
      <w:tr>
        <w:tc>
          <w:tcPr>
            <w:tcW w:type="dxa" w:w="5083"/>
            <w:vAlign w:val="top"/>
            <w:tcMar>
              <w:top w:w="80" w:type="dxa"/>
              <w:start w:w="90" w:type="dxa"/>
              <w:bottom w:w="80" w:type="dxa"/>
              <w:end w:w="90" w:type="dxa"/>
            </w:tcMar>
          </w:tcPr>
          <w:p>
            <w:pPr>
              <w:spacing w:after="40"/>
            </w:pPr>
            <w:r>
              <w:rPr>
                <w:sz w:val="18"/>
              </w:rPr>
              <w:t>Do I genuinely want to do it?</w:t>
            </w:r>
          </w:p>
        </w:tc>
        <w:tc>
          <w:tcPr>
            <w:tcW w:type="dxa" w:w="5083"/>
            <w:vAlign w:val="top"/>
            <w:tcMar>
              <w:top w:w="80" w:type="dxa"/>
              <w:start w:w="90" w:type="dxa"/>
              <w:bottom w:w="80" w:type="dxa"/>
              <w:end w:w="90" w:type="dxa"/>
            </w:tcMar>
          </w:tcPr>
          <w:p>
            <w:pPr>
              <w:spacing w:after="40"/>
            </w:pPr>
            <w:r>
              <w:rPr>
                <w:sz w:val="18"/>
              </w:rPr>
              <w:t>Notice obligation, guilt, resentment, or pressure.</w:t>
            </w:r>
          </w:p>
        </w:tc>
      </w:tr>
      <w:tr>
        <w:tc>
          <w:tcPr>
            <w:tcW w:type="dxa" w:w="5083"/>
            <w:vAlign w:val="top"/>
            <w:tcMar>
              <w:top w:w="80" w:type="dxa"/>
              <w:start w:w="90" w:type="dxa"/>
              <w:bottom w:w="80" w:type="dxa"/>
              <w:end w:w="90" w:type="dxa"/>
            </w:tcMar>
          </w:tcPr>
          <w:p>
            <w:pPr>
              <w:spacing w:after="40"/>
            </w:pPr>
            <w:r>
              <w:rPr>
                <w:sz w:val="18"/>
              </w:rPr>
              <w:t>Am I doing more than my share?</w:t>
            </w:r>
          </w:p>
        </w:tc>
        <w:tc>
          <w:tcPr>
            <w:tcW w:type="dxa" w:w="5083"/>
            <w:vAlign w:val="top"/>
            <w:tcMar>
              <w:top w:w="80" w:type="dxa"/>
              <w:start w:w="90" w:type="dxa"/>
              <w:bottom w:w="80" w:type="dxa"/>
              <w:end w:w="90" w:type="dxa"/>
            </w:tcMar>
          </w:tcPr>
          <w:p>
            <w:pPr>
              <w:spacing w:after="40"/>
            </w:pPr>
            <w:r>
              <w:rPr>
                <w:sz w:val="18"/>
              </w:rPr>
              <w:t>Support should not silently become permanent overfunctioning.</w:t>
            </w:r>
          </w:p>
        </w:tc>
      </w:tr>
      <w:tr>
        <w:tc>
          <w:tcPr>
            <w:tcW w:type="dxa" w:w="5083"/>
            <w:vAlign w:val="top"/>
            <w:tcMar>
              <w:top w:w="80" w:type="dxa"/>
              <w:start w:w="90" w:type="dxa"/>
              <w:bottom w:w="80" w:type="dxa"/>
              <w:end w:w="90" w:type="dxa"/>
            </w:tcMar>
          </w:tcPr>
          <w:p>
            <w:pPr>
              <w:spacing w:after="40"/>
            </w:pPr>
            <w:r>
              <w:rPr>
                <w:sz w:val="18"/>
              </w:rPr>
              <w:t>Do others appreciate or acknowledge what I am doing?</w:t>
            </w:r>
          </w:p>
        </w:tc>
        <w:tc>
          <w:tcPr>
            <w:tcW w:type="dxa" w:w="5083"/>
            <w:vAlign w:val="top"/>
            <w:tcMar>
              <w:top w:w="80" w:type="dxa"/>
              <w:start w:w="90" w:type="dxa"/>
              <w:bottom w:w="80" w:type="dxa"/>
              <w:end w:w="90" w:type="dxa"/>
            </w:tcMar>
          </w:tcPr>
          <w:p>
            <w:pPr>
              <w:spacing w:after="40"/>
            </w:pPr>
            <w:r>
              <w:rPr>
                <w:sz w:val="18"/>
              </w:rPr>
              <w:t>Lack of appreciation is not the only issue, but chronic invisibility can signal a one-sided care pattern.</w:t>
            </w:r>
          </w:p>
        </w:tc>
      </w:tr>
      <w:tr>
        <w:tc>
          <w:tcPr>
            <w:tcW w:type="dxa" w:w="5083"/>
            <w:vAlign w:val="top"/>
            <w:tcMar>
              <w:top w:w="80" w:type="dxa"/>
              <w:start w:w="90" w:type="dxa"/>
              <w:bottom w:w="80" w:type="dxa"/>
              <w:end w:w="90" w:type="dxa"/>
            </w:tcMar>
          </w:tcPr>
          <w:p>
            <w:pPr>
              <w:spacing w:after="40"/>
            </w:pPr>
            <w:r>
              <w:rPr>
                <w:sz w:val="18"/>
              </w:rPr>
              <w:t>Am I doing something they can do for themselves?</w:t>
            </w:r>
          </w:p>
        </w:tc>
        <w:tc>
          <w:tcPr>
            <w:tcW w:type="dxa" w:w="5083"/>
            <w:vAlign w:val="top"/>
            <w:tcMar>
              <w:top w:w="80" w:type="dxa"/>
              <w:start w:w="90" w:type="dxa"/>
              <w:bottom w:w="80" w:type="dxa"/>
              <w:end w:w="90" w:type="dxa"/>
            </w:tcMar>
          </w:tcPr>
          <w:p>
            <w:pPr>
              <w:spacing w:after="40"/>
            </w:pPr>
            <w:r>
              <w:rPr>
                <w:sz w:val="18"/>
              </w:rPr>
              <w:t>If yes, ask whether support can be shifted toward coaching, choice, or shared responsibility.</w:t>
            </w:r>
          </w:p>
        </w:tc>
      </w:tr>
    </w:tbl>
    <w:p>
      <w:pPr>
        <w:pStyle w:val="Heading2"/>
      </w:pPr>
      <w:r>
        <w:t>Rescuing Warning Signs in the Caregiver</w:t>
      </w:r>
    </w:p>
    <w:p>
      <w:pPr>
        <w:pStyle w:val="ListBullet"/>
        <w:spacing w:after="40"/>
      </w:pPr>
      <w:r>
        <w:t>You feel responsible for whether the person changes.</w:t>
      </w:r>
    </w:p>
    <w:p>
      <w:pPr>
        <w:pStyle w:val="ListBullet"/>
        <w:spacing w:after="40"/>
      </w:pPr>
      <w:r>
        <w:t>You repeatedly cancel your own obligations to manage their preventable crises.</w:t>
      </w:r>
    </w:p>
    <w:p>
      <w:pPr>
        <w:pStyle w:val="ListBullet"/>
        <w:spacing w:after="40"/>
      </w:pPr>
      <w:r>
        <w:t>You hide consequences for them or make excuses for harmful behavior.</w:t>
      </w:r>
    </w:p>
    <w:p>
      <w:pPr>
        <w:pStyle w:val="ListBullet"/>
        <w:spacing w:after="40"/>
      </w:pPr>
      <w:r>
        <w:t>You are afraid to set limits because they may be angry, disappointed, or leave.</w:t>
      </w:r>
    </w:p>
    <w:p>
      <w:pPr>
        <w:pStyle w:val="ListBullet"/>
        <w:spacing w:after="40"/>
      </w:pPr>
      <w:r>
        <w:t>Your support keeps increasing while their responsibility keeps decreasing.</w:t>
      </w:r>
    </w:p>
    <w:p>
      <w:pPr>
        <w:pStyle w:val="ListBullet"/>
        <w:spacing w:after="40"/>
      </w:pPr>
      <w:r>
        <w:t>You feel indispensable—and exhausted.</w:t>
      </w:r>
    </w:p>
    <w:p>
      <w:pPr>
        <w:pStyle w:val="ListBullet"/>
        <w:spacing w:after="40"/>
      </w:pPr>
      <w:r>
        <w:t>You are keeping secrets that should be brought to appropriate safety, supervision, or professional support.</w:t>
      </w:r>
    </w:p>
    <w:p>
      <w:pPr>
        <w:pStyle w:val="Heading2"/>
      </w:pPr>
      <w:r>
        <w:t>A Better Goal</w:t>
      </w:r>
    </w:p>
    <w:tbl>
      <w:tblPr>
        <w:tblW w:type="auto" w:w="0"/>
        <w:jc w:val="center"/>
        <w:tblLayout w:type="autofit"/>
        <w:tblLook w:firstColumn="1" w:firstRow="1" w:lastColumn="0" w:lastRow="0" w:noHBand="0" w:noVBand="1" w:val="04A0"/>
      </w:tblPr>
      <w:tblGrid>
        <w:gridCol w:w="10166"/>
      </w:tblGrid>
      <w:tr>
        <w:tc>
          <w:tcPr>
            <w:tcW w:type="dxa" w:w="10166"/>
            <w:shd w:fill="EEE8F7"/>
            <w:tcMar>
              <w:top w:w="110" w:type="dxa"/>
              <w:start w:w="140" w:type="dxa"/>
              <w:bottom w:w="110" w:type="dxa"/>
              <w:end w:w="140" w:type="dxa"/>
            </w:tcMar>
          </w:tcPr>
          <w:p>
            <w:r>
              <w:rPr>
                <w:b/>
                <w:color w:val="6B4FA1"/>
                <w:sz w:val="18"/>
              </w:rPr>
              <w:t>EMPOWERMENT</w:t>
            </w:r>
          </w:p>
          <w:p>
            <w:r>
              <w:rPr>
                <w:b/>
                <w:sz w:val="22"/>
              </w:rPr>
              <w:t>Do with when appropriate. Do not automatically do for. Support the next responsible step without becoming the entire system.</w:t>
            </w:r>
          </w:p>
        </w:tc>
      </w:tr>
    </w:tbl>
    <w:p>
      <w:pPr>
        <w:spacing w:after="0"/>
      </w:pPr>
    </w:p>
    <w:p>
      <w:pPr>
        <w:pStyle w:val="Heading1"/>
        <w:pageBreakBefore/>
      </w:pPr>
      <w:r>
        <w:t>Tool 4 — The Ministry of Presence</w:t>
      </w:r>
    </w:p>
    <w:p>
      <w:r>
        <w:rPr>
          <w:i w:val="0"/>
        </w:rPr>
        <w:t>Presence is not passivity. It is the discipline of staying emotionally available long enough to understand what the person is actually carrying before deciding what to do.</w:t>
      </w:r>
    </w:p>
    <w:p>
      <w:pPr>
        <w:pStyle w:val="Heading2"/>
      </w:pPr>
      <w:r>
        <w:t>What Presence Sounds Like</w:t>
      </w:r>
    </w:p>
    <w:p>
      <w:pPr>
        <w:pStyle w:val="ListBullet"/>
        <w:spacing w:after="40"/>
      </w:pPr>
      <w:r>
        <w:t>“I’m here. You do not have to explain this perfectly.”</w:t>
      </w:r>
    </w:p>
    <w:p>
      <w:pPr>
        <w:pStyle w:val="ListBullet"/>
        <w:spacing w:after="40"/>
      </w:pPr>
      <w:r>
        <w:t>“Take your time.”</w:t>
      </w:r>
    </w:p>
    <w:p>
      <w:pPr>
        <w:pStyle w:val="ListBullet"/>
        <w:spacing w:after="40"/>
      </w:pPr>
      <w:r>
        <w:t>“That sounds like a lot to carry.”</w:t>
      </w:r>
    </w:p>
    <w:p>
      <w:pPr>
        <w:pStyle w:val="ListBullet"/>
        <w:spacing w:after="40"/>
      </w:pPr>
      <w:r>
        <w:t>“What feels hardest about this right now?”</w:t>
      </w:r>
    </w:p>
    <w:p>
      <w:pPr>
        <w:pStyle w:val="ListBullet"/>
        <w:spacing w:after="40"/>
      </w:pPr>
      <w:r>
        <w:t>“Would you like me to listen, pray with you, help you think through options, or help you connect with additional support?”</w:t>
      </w:r>
    </w:p>
    <w:p>
      <w:pPr>
        <w:pStyle w:val="Heading2"/>
      </w:pPr>
      <w:r>
        <w:t>What Presence Is Not</w:t>
      </w:r>
    </w:p>
    <w:p>
      <w:pPr>
        <w:pStyle w:val="ListBullet"/>
        <w:spacing w:after="40"/>
      </w:pPr>
      <w:r>
        <w:t>Rushing to give a Scripture before hearing the story.</w:t>
      </w:r>
    </w:p>
    <w:p>
      <w:pPr>
        <w:pStyle w:val="ListBullet"/>
        <w:spacing w:after="40"/>
      </w:pPr>
      <w:r>
        <w:t>Explaining why the person should not feel what they feel.</w:t>
      </w:r>
    </w:p>
    <w:p>
      <w:pPr>
        <w:pStyle w:val="ListBullet"/>
        <w:spacing w:after="40"/>
      </w:pPr>
      <w:r>
        <w:t>Turning the conversation into your own testimony too quickly.</w:t>
      </w:r>
    </w:p>
    <w:p>
      <w:pPr>
        <w:pStyle w:val="ListBullet"/>
        <w:spacing w:after="40"/>
      </w:pPr>
      <w:r>
        <w:t>Making promises you cannot keep.</w:t>
      </w:r>
    </w:p>
    <w:p>
      <w:pPr>
        <w:pStyle w:val="ListBullet"/>
        <w:spacing w:after="40"/>
      </w:pPr>
      <w:r>
        <w:t>Assuming silence means agreement, safety, or resolution.</w:t>
      </w:r>
    </w:p>
    <w:p>
      <w:pPr>
        <w:pStyle w:val="ListBullet"/>
        <w:spacing w:after="40"/>
      </w:pPr>
      <w:r>
        <w:t>Using prayer to end a conversation that actually requires referral or safety action.</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The teaching of kindness is on her tongue. The right words at the right time can heal what silence wounded.</w:t>
            </w:r>
          </w:p>
        </w:tc>
      </w:tr>
    </w:tbl>
    <w:p>
      <w:pPr>
        <w:spacing w:after="0"/>
      </w:pPr>
    </w:p>
    <w:p>
      <w:pPr>
        <w:pStyle w:val="Heading1"/>
        <w:pageBreakBefore/>
      </w:pPr>
      <w:r>
        <w:t>Tool 5 — Conversation Scripts: What to Say in the Room</w:t>
      </w:r>
    </w:p>
    <w:p>
      <w:r>
        <w:rPr>
          <w:i w:val="0"/>
        </w:rPr>
        <w:t>These are sample phrases, not formulas. Use natural language, respect culture and context, and do not promise outcomes you cannot guarantee.</w:t>
      </w:r>
    </w:p>
    <w:p>
      <w:pPr>
        <w:pStyle w:val="Heading2"/>
      </w:pPr>
      <w:r>
        <w:t>Opening a Difficult Conversation</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“I’ve noticed you have seemed more withdrawn lately, and I care about you. I may be reading it wrong, but I wanted to ask how you are really doing.”</w:t>
            </w:r>
          </w:p>
        </w:tc>
      </w:tr>
    </w:tbl>
    <w:p>
      <w:pPr>
        <w:spacing w:after="0"/>
      </w:pPr>
    </w:p>
    <w:p>
      <w:pPr>
        <w:pStyle w:val="Heading2"/>
      </w:pPr>
      <w:r>
        <w:t>When They Say “I’m Fine” but You Are Concerned</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hear you. I also want you to know that if ‘fine’ changes, you do not have to wait until things are unbearable to reach out.”</w:t>
            </w:r>
          </w:p>
        </w:tc>
      </w:tr>
    </w:tbl>
    <w:p>
      <w:pPr>
        <w:spacing w:after="0"/>
      </w:pPr>
    </w:p>
    <w:p>
      <w:pPr>
        <w:pStyle w:val="Heading2"/>
      </w:pPr>
      <w:r>
        <w:t>When Someone Is Overwhelmed</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“We do not have to solve your whole life tonight. What is the most urgent thing you need help carrying in the next 24 hours?”</w:t>
            </w:r>
          </w:p>
        </w:tc>
      </w:tr>
    </w:tbl>
    <w:p>
      <w:pPr>
        <w:spacing w:after="0"/>
      </w:pPr>
    </w:p>
    <w:p>
      <w:pPr>
        <w:pStyle w:val="Heading2"/>
      </w:pPr>
      <w:r>
        <w:t>When Someone Discloses Trauma</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“Thank you for trusting me with that. I am sorry you had to carry it. You do not have to give me details you are not ready to share. What would help you feel safer right now?”</w:t>
            </w:r>
          </w:p>
        </w:tc>
      </w:tr>
    </w:tbl>
    <w:p>
      <w:pPr>
        <w:spacing w:after="0"/>
      </w:pPr>
    </w:p>
    <w:p>
      <w:pPr>
        <w:pStyle w:val="Heading2"/>
      </w:pPr>
      <w:r>
        <w:t>When Someone Is Grieving</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“I’m not going to rush you or try to fix this. I can sit with you in it. What has this week been like?”</w:t>
            </w:r>
          </w:p>
        </w:tc>
      </w:tr>
    </w:tbl>
    <w:p>
      <w:pPr>
        <w:spacing w:after="0"/>
      </w:pPr>
    </w:p>
    <w:p>
      <w:pPr>
        <w:pStyle w:val="Heading2"/>
      </w:pPr>
      <w:r>
        <w:t>When Someone Is Angry</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can hear how intense this is. I want to understand, and I also need us to speak in a way that keeps this conversation safe. Can we slow it down?”</w:t>
            </w:r>
          </w:p>
        </w:tc>
      </w:tr>
    </w:tbl>
    <w:p>
      <w:pPr>
        <w:spacing w:after="0"/>
      </w:pPr>
    </w:p>
    <w:p>
      <w:pPr>
        <w:pStyle w:val="Heading2"/>
      </w:pPr>
      <w:r>
        <w:t>When a Family Member Wants You to Take Over</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can help you think through options, but I cannot make this decision or carry the whole situation for you. What part can you take responsibility for next?”</w:t>
            </w:r>
          </w:p>
        </w:tc>
      </w:tr>
    </w:tbl>
    <w:p>
      <w:pPr>
        <w:spacing w:after="0"/>
      </w:pPr>
    </w:p>
    <w:p>
      <w:pPr>
        <w:pStyle w:val="Heading1"/>
        <w:pageBreakBefore/>
      </w:pPr>
      <w:r>
        <w:t>Conversation Scripts: Referral, Boundaries &amp; Follow-Up</w:t>
      </w:r>
    </w:p>
    <w:p>
      <w:pPr>
        <w:pStyle w:val="Heading2"/>
      </w:pPr>
      <w:r>
        <w:t>When You Believe Professional Support Is Needed</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care about you, and what you’re describing deserves more support than I can responsibly provide by myself. I would like us to connect you with someone trained for this. I can help you identify options.”</w:t>
            </w:r>
          </w:p>
        </w:tc>
      </w:tr>
    </w:tbl>
    <w:p>
      <w:pPr>
        <w:spacing w:after="0"/>
      </w:pPr>
    </w:p>
    <w:p>
      <w:pPr>
        <w:pStyle w:val="Heading2"/>
      </w:pPr>
      <w:r>
        <w:t>When They Resist Therapy Because of Faith</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“Getting professional support does not require you to stop praying or stop trusting God. We can continue spiritual care while also bringing in someone trained to address what you are experiencing.”</w:t>
            </w:r>
          </w:p>
        </w:tc>
      </w:tr>
    </w:tbl>
    <w:p>
      <w:pPr>
        <w:spacing w:after="0"/>
      </w:pPr>
    </w:p>
    <w:p>
      <w:pPr>
        <w:pStyle w:val="Heading2"/>
      </w:pPr>
      <w:r>
        <w:t>When They Say “Promise You Won’t Tell Anyone”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will protect your privacy as much as I responsibly can, but I do not want to promise secrecy before I know what is happening. If someone is in danger or I have a legal or safeguarding duty, I may need to involve appropriate help.”</w:t>
            </w:r>
          </w:p>
        </w:tc>
      </w:tr>
    </w:tbl>
    <w:p>
      <w:pPr>
        <w:spacing w:after="0"/>
      </w:pPr>
    </w:p>
    <w:p>
      <w:pPr>
        <w:pStyle w:val="Heading2"/>
      </w:pPr>
      <w:r>
        <w:t>When You Need to Set a Time Boundary</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want to give this the attention it deserves. I have about twenty minutes right now. Then we can decide whether to schedule another time or connect you with additional support.”</w:t>
            </w:r>
          </w:p>
        </w:tc>
      </w:tr>
    </w:tbl>
    <w:p>
      <w:pPr>
        <w:spacing w:after="0"/>
      </w:pPr>
    </w:p>
    <w:p>
      <w:pPr>
        <w:pStyle w:val="Heading2"/>
      </w:pPr>
      <w:r>
        <w:t>When You Cannot Be Their Only Support</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care about you, and I cannot be your only point of support. Let’s identify two or three other safe people or resources so this is not all resting on one relationship.”</w:t>
            </w:r>
          </w:p>
        </w:tc>
      </w:tr>
    </w:tbl>
    <w:p>
      <w:pPr>
        <w:spacing w:after="0"/>
      </w:pPr>
    </w:p>
    <w:p>
      <w:pPr>
        <w:pStyle w:val="Heading2"/>
      </w:pPr>
      <w:r>
        <w:t>After a Referral</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“I’m glad you took that step. I do not need the details of your sessions. I do want to know how I can continue supporting you spiritually and practically.”</w:t>
            </w:r>
          </w:p>
        </w:tc>
      </w:tr>
    </w:tbl>
    <w:p>
      <w:pPr>
        <w:spacing w:after="0"/>
      </w:pPr>
    </w:p>
    <w:p>
      <w:pPr>
        <w:pStyle w:val="Heading2"/>
      </w:pPr>
      <w:r>
        <w:t>When They Decline a Referral</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respect that the decision is yours unless there is an immediate safety issue. I also need to be clear that I cannot provide treatment in place of professional care. I can remain supportive within my role.”</w:t>
            </w:r>
          </w:p>
        </w:tc>
      </w:tr>
    </w:tbl>
    <w:p>
      <w:pPr>
        <w:spacing w:after="0"/>
      </w:pPr>
    </w:p>
    <w:p>
      <w:pPr>
        <w:pStyle w:val="Heading1"/>
        <w:pageBreakBefore/>
      </w:pPr>
      <w:r>
        <w:t>Tool 6 — Warning Signs &amp; Changes in Functioning</w:t>
      </w:r>
    </w:p>
    <w:p>
      <w:r>
        <w:rPr>
          <w:i w:val="0"/>
        </w:rPr>
        <w:t>Your mental-health training distinguishes ordinary fluctuations from clinically significant distress or impairment and identifies warning signs such as sudden mood changes, withdrawal, difficulty concentrating or functioning, repetitive uncontrollable behaviors, hopelessness, self-harm talk, severe withdrawal, inability to care for oneself, and dangerous behavior.</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KEY PRINCIPLE</w:t>
            </w:r>
          </w:p>
          <w:p>
            <w:r>
              <w:rPr>
                <w:b/>
                <w:sz w:val="22"/>
              </w:rPr>
              <w:t>Look for change, intensity, duration, impairment, safety, and context—not one isolated behavior.</w:t>
            </w:r>
          </w:p>
        </w:tc>
      </w:tr>
    </w:tbl>
    <w:p>
      <w:pPr>
        <w:spacing w:after="0"/>
      </w:pPr>
    </w:p>
    <w:p>
      <w:pPr>
        <w:pStyle w:val="Heading2"/>
      </w:pPr>
      <w:r>
        <w:t>Things to Notice</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6B4FA1"/>
          </w:tcPr>
          <w:p>
            <w:r>
              <w:rPr>
                <w:b/>
                <w:color w:val="FFFFFF"/>
                <w:sz w:val="17"/>
              </w:rPr>
              <w:t>Area</w:t>
            </w:r>
          </w:p>
        </w:tc>
        <w:tc>
          <w:tcPr>
            <w:tcW w:type="dxa" w:w="2541"/>
            <w:shd w:fill="6B4FA1"/>
          </w:tcPr>
          <w:p>
            <w:r>
              <w:rPr>
                <w:b/>
                <w:color w:val="FFFFFF"/>
                <w:sz w:val="17"/>
              </w:rPr>
              <w:t>Possible Change</w:t>
            </w:r>
          </w:p>
        </w:tc>
        <w:tc>
          <w:tcPr>
            <w:tcW w:type="dxa" w:w="2541"/>
            <w:shd w:fill="6B4FA1"/>
          </w:tcPr>
          <w:p>
            <w:r>
              <w:rPr>
                <w:b/>
                <w:color w:val="FFFFFF"/>
                <w:sz w:val="17"/>
              </w:rPr>
              <w:t>Ask</w:t>
            </w:r>
          </w:p>
        </w:tc>
        <w:tc>
          <w:tcPr>
            <w:tcW w:type="dxa" w:w="2541"/>
            <w:shd w:fill="6B4FA1"/>
          </w:tcPr>
          <w:p>
            <w:r>
              <w:rPr>
                <w:b/>
                <w:color w:val="FFFFFF"/>
                <w:sz w:val="17"/>
              </w:rPr>
              <w:t>Possible Next Step</w:t>
            </w:r>
          </w:p>
        </w:tc>
      </w:tr>
      <w:tr>
        <w:tc>
          <w:tcPr>
            <w:tcW w:type="dxa" w:w="2541"/>
            <w:tcMar>
              <w:top w:w="60" w:type="dxa"/>
              <w:start w:w="65" w:type="dxa"/>
              <w:bottom w:w="60" w:type="dxa"/>
              <w:end w:w="65" w:type="dxa"/>
            </w:tcMar>
          </w:tcPr>
          <w:p>
            <w:pPr>
              <w:spacing w:after="20"/>
            </w:pPr>
            <w:r>
              <w:rPr>
                <w:sz w:val="16"/>
              </w:rPr>
              <w:t>Mood</w:t>
            </w:r>
          </w:p>
        </w:tc>
        <w:tc>
          <w:tcPr>
            <w:tcW w:type="dxa" w:w="2541"/>
            <w:tcMar>
              <w:top w:w="60" w:type="dxa"/>
              <w:start w:w="65" w:type="dxa"/>
              <w:bottom w:w="60" w:type="dxa"/>
              <w:end w:w="65" w:type="dxa"/>
            </w:tcMar>
          </w:tcPr>
          <w:p>
            <w:pPr>
              <w:spacing w:after="20"/>
            </w:pPr>
            <w:r>
              <w:rPr>
                <w:sz w:val="16"/>
              </w:rPr>
              <w:t>Persistent sadness, hopelessness, unusual irritability, rage, extreme shifts</w:t>
            </w:r>
          </w:p>
        </w:tc>
        <w:tc>
          <w:tcPr>
            <w:tcW w:type="dxa" w:w="2541"/>
            <w:tcMar>
              <w:top w:w="60" w:type="dxa"/>
              <w:start w:w="65" w:type="dxa"/>
              <w:bottom w:w="60" w:type="dxa"/>
              <w:end w:w="65" w:type="dxa"/>
            </w:tcMar>
          </w:tcPr>
          <w:p>
            <w:pPr>
              <w:spacing w:after="20"/>
            </w:pPr>
            <w:r>
              <w:rPr>
                <w:sz w:val="16"/>
              </w:rPr>
              <w:t>“How long has this felt different?”</w:t>
            </w:r>
          </w:p>
        </w:tc>
        <w:tc>
          <w:tcPr>
            <w:tcW w:type="dxa" w:w="2541"/>
            <w:tcMar>
              <w:top w:w="60" w:type="dxa"/>
              <w:start w:w="65" w:type="dxa"/>
              <w:bottom w:w="60" w:type="dxa"/>
              <w:end w:w="65" w:type="dxa"/>
            </w:tcMar>
          </w:tcPr>
          <w:p>
            <w:pPr>
              <w:spacing w:after="20"/>
            </w:pPr>
            <w:r>
              <w:rPr>
                <w:sz w:val="16"/>
              </w:rPr>
              <w:t>Listen; consider referral; assess safety if hopelessness/self-harm is present.</w:t>
            </w:r>
          </w:p>
        </w:tc>
      </w:tr>
      <w:tr>
        <w:tc>
          <w:tcPr>
            <w:tcW w:type="dxa" w:w="2541"/>
            <w:tcMar>
              <w:top w:w="60" w:type="dxa"/>
              <w:start w:w="65" w:type="dxa"/>
              <w:bottom w:w="60" w:type="dxa"/>
              <w:end w:w="65" w:type="dxa"/>
            </w:tcMar>
          </w:tcPr>
          <w:p>
            <w:pPr>
              <w:spacing w:after="20"/>
            </w:pPr>
            <w:r>
              <w:rPr>
                <w:sz w:val="16"/>
              </w:rPr>
              <w:t>Functioning</w:t>
            </w:r>
          </w:p>
        </w:tc>
        <w:tc>
          <w:tcPr>
            <w:tcW w:type="dxa" w:w="2541"/>
            <w:tcMar>
              <w:top w:w="60" w:type="dxa"/>
              <w:start w:w="65" w:type="dxa"/>
              <w:bottom w:w="60" w:type="dxa"/>
              <w:end w:w="65" w:type="dxa"/>
            </w:tcMar>
          </w:tcPr>
          <w:p>
            <w:pPr>
              <w:spacing w:after="20"/>
            </w:pPr>
            <w:r>
              <w:rPr>
                <w:sz w:val="16"/>
              </w:rPr>
              <w:t>Work/school decline, missed obligations, inability to complete daily tasks</w:t>
            </w:r>
          </w:p>
        </w:tc>
        <w:tc>
          <w:tcPr>
            <w:tcW w:type="dxa" w:w="2541"/>
            <w:tcMar>
              <w:top w:w="60" w:type="dxa"/>
              <w:start w:w="65" w:type="dxa"/>
              <w:bottom w:w="60" w:type="dxa"/>
              <w:end w:w="65" w:type="dxa"/>
            </w:tcMar>
          </w:tcPr>
          <w:p>
            <w:pPr>
              <w:spacing w:after="20"/>
            </w:pPr>
            <w:r>
              <w:rPr>
                <w:sz w:val="16"/>
              </w:rPr>
              <w:t>“What has become harder to do?”</w:t>
            </w:r>
          </w:p>
        </w:tc>
        <w:tc>
          <w:tcPr>
            <w:tcW w:type="dxa" w:w="2541"/>
            <w:tcMar>
              <w:top w:w="60" w:type="dxa"/>
              <w:start w:w="65" w:type="dxa"/>
              <w:bottom w:w="60" w:type="dxa"/>
              <w:end w:w="65" w:type="dxa"/>
            </w:tcMar>
          </w:tcPr>
          <w:p>
            <w:pPr>
              <w:spacing w:after="20"/>
            </w:pPr>
            <w:r>
              <w:rPr>
                <w:sz w:val="16"/>
              </w:rPr>
              <w:t>Professional evaluation may be appropriate.</w:t>
            </w:r>
          </w:p>
        </w:tc>
      </w:tr>
      <w:tr>
        <w:tc>
          <w:tcPr>
            <w:tcW w:type="dxa" w:w="2541"/>
            <w:tcMar>
              <w:top w:w="60" w:type="dxa"/>
              <w:start w:w="65" w:type="dxa"/>
              <w:bottom w:w="60" w:type="dxa"/>
              <w:end w:w="65" w:type="dxa"/>
            </w:tcMar>
          </w:tcPr>
          <w:p>
            <w:pPr>
              <w:spacing w:after="20"/>
            </w:pPr>
            <w:r>
              <w:rPr>
                <w:sz w:val="16"/>
              </w:rPr>
              <w:t>Social</w:t>
            </w:r>
          </w:p>
        </w:tc>
        <w:tc>
          <w:tcPr>
            <w:tcW w:type="dxa" w:w="2541"/>
            <w:tcMar>
              <w:top w:w="60" w:type="dxa"/>
              <w:start w:w="65" w:type="dxa"/>
              <w:bottom w:w="60" w:type="dxa"/>
              <w:end w:w="65" w:type="dxa"/>
            </w:tcMar>
          </w:tcPr>
          <w:p>
            <w:pPr>
              <w:spacing w:after="20"/>
            </w:pPr>
            <w:r>
              <w:rPr>
                <w:sz w:val="16"/>
              </w:rPr>
              <w:t>Isolation, sudden withdrawal, loss of interest in usual relationships</w:t>
            </w:r>
          </w:p>
        </w:tc>
        <w:tc>
          <w:tcPr>
            <w:tcW w:type="dxa" w:w="2541"/>
            <w:tcMar>
              <w:top w:w="60" w:type="dxa"/>
              <w:start w:w="65" w:type="dxa"/>
              <w:bottom w:w="60" w:type="dxa"/>
              <w:end w:w="65" w:type="dxa"/>
            </w:tcMar>
          </w:tcPr>
          <w:p>
            <w:pPr>
              <w:spacing w:after="20"/>
            </w:pPr>
            <w:r>
              <w:rPr>
                <w:sz w:val="16"/>
              </w:rPr>
              <w:t>“Who are you still able to connect with?”</w:t>
            </w:r>
          </w:p>
        </w:tc>
        <w:tc>
          <w:tcPr>
            <w:tcW w:type="dxa" w:w="2541"/>
            <w:tcMar>
              <w:top w:w="60" w:type="dxa"/>
              <w:start w:w="65" w:type="dxa"/>
              <w:bottom w:w="60" w:type="dxa"/>
              <w:end w:w="65" w:type="dxa"/>
            </w:tcMar>
          </w:tcPr>
          <w:p>
            <w:pPr>
              <w:spacing w:after="20"/>
            </w:pPr>
            <w:r>
              <w:rPr>
                <w:sz w:val="16"/>
              </w:rPr>
              <w:t>Increase support; consider referral.</w:t>
            </w:r>
          </w:p>
        </w:tc>
      </w:tr>
      <w:tr>
        <w:tc>
          <w:tcPr>
            <w:tcW w:type="dxa" w:w="2541"/>
            <w:tcMar>
              <w:top w:w="60" w:type="dxa"/>
              <w:start w:w="65" w:type="dxa"/>
              <w:bottom w:w="60" w:type="dxa"/>
              <w:end w:w="65" w:type="dxa"/>
            </w:tcMar>
          </w:tcPr>
          <w:p>
            <w:pPr>
              <w:spacing w:after="20"/>
            </w:pPr>
            <w:r>
              <w:rPr>
                <w:sz w:val="16"/>
              </w:rPr>
              <w:t>Sleep/Energy</w:t>
            </w:r>
          </w:p>
        </w:tc>
        <w:tc>
          <w:tcPr>
            <w:tcW w:type="dxa" w:w="2541"/>
            <w:tcMar>
              <w:top w:w="60" w:type="dxa"/>
              <w:start w:w="65" w:type="dxa"/>
              <w:bottom w:w="60" w:type="dxa"/>
              <w:end w:w="65" w:type="dxa"/>
            </w:tcMar>
          </w:tcPr>
          <w:p>
            <w:pPr>
              <w:spacing w:after="20"/>
            </w:pPr>
            <w:r>
              <w:rPr>
                <w:sz w:val="16"/>
              </w:rPr>
              <w:t>Severe insomnia, prolonged exhaustion, dramatic changes in sleep</w:t>
            </w:r>
          </w:p>
        </w:tc>
        <w:tc>
          <w:tcPr>
            <w:tcW w:type="dxa" w:w="2541"/>
            <w:tcMar>
              <w:top w:w="60" w:type="dxa"/>
              <w:start w:w="65" w:type="dxa"/>
              <w:bottom w:w="60" w:type="dxa"/>
              <w:end w:w="65" w:type="dxa"/>
            </w:tcMar>
          </w:tcPr>
          <w:p>
            <w:pPr>
              <w:spacing w:after="20"/>
            </w:pPr>
            <w:r>
              <w:rPr>
                <w:sz w:val="16"/>
              </w:rPr>
              <w:t>“How are you sleeping and functioning?”</w:t>
            </w:r>
          </w:p>
        </w:tc>
        <w:tc>
          <w:tcPr>
            <w:tcW w:type="dxa" w:w="2541"/>
            <w:tcMar>
              <w:top w:w="60" w:type="dxa"/>
              <w:start w:w="65" w:type="dxa"/>
              <w:bottom w:w="60" w:type="dxa"/>
              <w:end w:w="65" w:type="dxa"/>
            </w:tcMar>
          </w:tcPr>
          <w:p>
            <w:pPr>
              <w:spacing w:after="20"/>
            </w:pPr>
            <w:r>
              <w:rPr>
                <w:sz w:val="16"/>
              </w:rPr>
              <w:t>Consider medical/mental-health evaluation.</w:t>
            </w:r>
          </w:p>
        </w:tc>
      </w:tr>
      <w:tr>
        <w:tc>
          <w:tcPr>
            <w:tcW w:type="dxa" w:w="2541"/>
            <w:tcMar>
              <w:top w:w="60" w:type="dxa"/>
              <w:start w:w="65" w:type="dxa"/>
              <w:bottom w:w="60" w:type="dxa"/>
              <w:end w:w="65" w:type="dxa"/>
            </w:tcMar>
          </w:tcPr>
          <w:p>
            <w:pPr>
              <w:spacing w:after="20"/>
            </w:pPr>
            <w:r>
              <w:rPr>
                <w:sz w:val="16"/>
              </w:rPr>
              <w:t>Behavior</w:t>
            </w:r>
          </w:p>
        </w:tc>
        <w:tc>
          <w:tcPr>
            <w:tcW w:type="dxa" w:w="2541"/>
            <w:tcMar>
              <w:top w:w="60" w:type="dxa"/>
              <w:start w:w="65" w:type="dxa"/>
              <w:bottom w:w="60" w:type="dxa"/>
              <w:end w:w="65" w:type="dxa"/>
            </w:tcMar>
          </w:tcPr>
          <w:p>
            <w:pPr>
              <w:spacing w:after="20"/>
            </w:pPr>
            <w:r>
              <w:rPr>
                <w:sz w:val="16"/>
              </w:rPr>
              <w:t>Unusual agitation, risky behavior, disorganization, repetitive/uncontrollable behavior</w:t>
            </w:r>
          </w:p>
        </w:tc>
        <w:tc>
          <w:tcPr>
            <w:tcW w:type="dxa" w:w="2541"/>
            <w:tcMar>
              <w:top w:w="60" w:type="dxa"/>
              <w:start w:w="65" w:type="dxa"/>
              <w:bottom w:w="60" w:type="dxa"/>
              <w:end w:w="65" w:type="dxa"/>
            </w:tcMar>
          </w:tcPr>
          <w:p>
            <w:pPr>
              <w:spacing w:after="20"/>
            </w:pPr>
            <w:r>
              <w:rPr>
                <w:sz w:val="16"/>
              </w:rPr>
              <w:t>“What have you noticed changing?”</w:t>
            </w:r>
          </w:p>
        </w:tc>
        <w:tc>
          <w:tcPr>
            <w:tcW w:type="dxa" w:w="2541"/>
            <w:tcMar>
              <w:top w:w="60" w:type="dxa"/>
              <w:start w:w="65" w:type="dxa"/>
              <w:bottom w:w="60" w:type="dxa"/>
              <w:end w:w="65" w:type="dxa"/>
            </w:tcMar>
          </w:tcPr>
          <w:p>
            <w:pPr>
              <w:spacing w:after="20"/>
            </w:pPr>
            <w:r>
              <w:rPr>
                <w:sz w:val="16"/>
              </w:rPr>
              <w:t>Refer; escalate when safety is involved.</w:t>
            </w:r>
          </w:p>
        </w:tc>
      </w:tr>
      <w:tr>
        <w:tc>
          <w:tcPr>
            <w:tcW w:type="dxa" w:w="2541"/>
            <w:tcMar>
              <w:top w:w="60" w:type="dxa"/>
              <w:start w:w="65" w:type="dxa"/>
              <w:bottom w:w="60" w:type="dxa"/>
              <w:end w:w="65" w:type="dxa"/>
            </w:tcMar>
          </w:tcPr>
          <w:p>
            <w:pPr>
              <w:spacing w:after="20"/>
            </w:pPr>
            <w:r>
              <w:rPr>
                <w:sz w:val="16"/>
              </w:rPr>
              <w:t>Substances</w:t>
            </w:r>
          </w:p>
        </w:tc>
        <w:tc>
          <w:tcPr>
            <w:tcW w:type="dxa" w:w="2541"/>
            <w:tcMar>
              <w:top w:w="60" w:type="dxa"/>
              <w:start w:w="65" w:type="dxa"/>
              <w:bottom w:w="60" w:type="dxa"/>
              <w:end w:w="65" w:type="dxa"/>
            </w:tcMar>
          </w:tcPr>
          <w:p>
            <w:pPr>
              <w:spacing w:after="20"/>
            </w:pPr>
            <w:r>
              <w:rPr>
                <w:sz w:val="16"/>
              </w:rPr>
              <w:t>Increasing impairment, intoxication-related crises, inability to reduce use</w:t>
            </w:r>
          </w:p>
        </w:tc>
        <w:tc>
          <w:tcPr>
            <w:tcW w:type="dxa" w:w="2541"/>
            <w:tcMar>
              <w:top w:w="60" w:type="dxa"/>
              <w:start w:w="65" w:type="dxa"/>
              <w:bottom w:w="60" w:type="dxa"/>
              <w:end w:w="65" w:type="dxa"/>
            </w:tcMar>
          </w:tcPr>
          <w:p>
            <w:pPr>
              <w:spacing w:after="20"/>
            </w:pPr>
            <w:r>
              <w:rPr>
                <w:sz w:val="16"/>
              </w:rPr>
              <w:t>“How is alcohol/drug use affecting you?”</w:t>
            </w:r>
          </w:p>
        </w:tc>
        <w:tc>
          <w:tcPr>
            <w:tcW w:type="dxa" w:w="2541"/>
            <w:tcMar>
              <w:top w:w="60" w:type="dxa"/>
              <w:start w:w="65" w:type="dxa"/>
              <w:bottom w:w="60" w:type="dxa"/>
              <w:end w:w="65" w:type="dxa"/>
            </w:tcMar>
          </w:tcPr>
          <w:p>
            <w:pPr>
              <w:spacing w:after="20"/>
            </w:pPr>
            <w:r>
              <w:rPr>
                <w:sz w:val="16"/>
              </w:rPr>
              <w:t>Substance-use referral; crisis action if overdose/danger.</w:t>
            </w:r>
          </w:p>
        </w:tc>
      </w:tr>
      <w:tr>
        <w:tc>
          <w:tcPr>
            <w:tcW w:type="dxa" w:w="2541"/>
            <w:tcMar>
              <w:top w:w="60" w:type="dxa"/>
              <w:start w:w="65" w:type="dxa"/>
              <w:bottom w:w="60" w:type="dxa"/>
              <w:end w:w="65" w:type="dxa"/>
            </w:tcMar>
          </w:tcPr>
          <w:p>
            <w:pPr>
              <w:spacing w:after="20"/>
            </w:pPr>
            <w:r>
              <w:rPr>
                <w:sz w:val="16"/>
              </w:rPr>
              <w:t>Safety</w:t>
            </w:r>
          </w:p>
        </w:tc>
        <w:tc>
          <w:tcPr>
            <w:tcW w:type="dxa" w:w="2541"/>
            <w:tcMar>
              <w:top w:w="60" w:type="dxa"/>
              <w:start w:w="65" w:type="dxa"/>
              <w:bottom w:w="60" w:type="dxa"/>
              <w:end w:w="65" w:type="dxa"/>
            </w:tcMar>
          </w:tcPr>
          <w:p>
            <w:pPr>
              <w:spacing w:after="20"/>
            </w:pPr>
            <w:r>
              <w:rPr>
                <w:sz w:val="16"/>
              </w:rPr>
              <w:t>Self-harm, suicide talk, threats, violence, inability to care for self</w:t>
            </w:r>
          </w:p>
        </w:tc>
        <w:tc>
          <w:tcPr>
            <w:tcW w:type="dxa" w:w="2541"/>
            <w:tcMar>
              <w:top w:w="60" w:type="dxa"/>
              <w:start w:w="65" w:type="dxa"/>
              <w:bottom w:w="60" w:type="dxa"/>
              <w:end w:w="65" w:type="dxa"/>
            </w:tcMar>
          </w:tcPr>
          <w:p>
            <w:pPr>
              <w:spacing w:after="20"/>
            </w:pPr>
            <w:r>
              <w:rPr>
                <w:sz w:val="16"/>
              </w:rPr>
              <w:t>Ask directly and calmly about safety.</w:t>
            </w:r>
          </w:p>
        </w:tc>
        <w:tc>
          <w:tcPr>
            <w:tcW w:type="dxa" w:w="2541"/>
            <w:tcMar>
              <w:top w:w="60" w:type="dxa"/>
              <w:start w:w="65" w:type="dxa"/>
              <w:bottom w:w="60" w:type="dxa"/>
              <w:end w:w="65" w:type="dxa"/>
            </w:tcMar>
          </w:tcPr>
          <w:p>
            <w:pPr>
              <w:spacing w:after="20"/>
            </w:pPr>
            <w:r>
              <w:rPr>
                <w:sz w:val="16"/>
              </w:rPr>
              <w:t>988/crisis support or emergency services depending on immediacy.</w:t>
            </w:r>
          </w:p>
        </w:tc>
      </w:tr>
    </w:tbl>
    <w:p>
      <w:pPr>
        <w:pStyle w:val="Heading2"/>
      </w:pPr>
      <w:r>
        <w:t>Do Not Diagnose from a Checklist</w:t>
      </w:r>
    </w:p>
    <w:p>
      <w:r>
        <w:rPr>
          <w:i w:val="0"/>
        </w:rPr>
        <w:t>A lay caregiver can notice patterns and recommend evaluation. A diagnosis requires qualified assessment and should not be assigned based on a church conversation, social-media content, or a symptom list.</w:t>
      </w:r>
    </w:p>
    <w:p>
      <w:pPr>
        <w:pStyle w:val="Heading1"/>
        <w:pageBreakBefore/>
      </w:pPr>
      <w:r>
        <w:t>Tool 7 — When Something Is Really Wrong: Crisis Decision Path</w:t>
      </w:r>
    </w:p>
    <w:tbl>
      <w:tblPr>
        <w:tblW w:type="auto" w:w="0"/>
        <w:jc w:val="center"/>
        <w:tblLayout w:type="autofit"/>
        <w:tblLook w:firstColumn="1" w:firstRow="1" w:lastColumn="0" w:lastRow="0" w:noHBand="0" w:noVBand="1" w:val="04A0"/>
      </w:tblPr>
      <w:tblGrid>
        <w:gridCol w:w="10166"/>
      </w:tblGrid>
      <w:tr>
        <w:tc>
          <w:tcPr>
            <w:tcW w:type="dxa" w:w="10166"/>
            <w:shd w:fill="FBEAEA"/>
            <w:tcMar>
              <w:top w:w="110" w:type="dxa"/>
              <w:start w:w="140" w:type="dxa"/>
              <w:bottom w:w="110" w:type="dxa"/>
              <w:end w:w="140" w:type="dxa"/>
            </w:tcMar>
          </w:tcPr>
          <w:p>
            <w:r>
              <w:rPr>
                <w:b/>
                <w:color w:val="A23B3B"/>
                <w:sz w:val="18"/>
              </w:rPr>
              <w:t>SAFETY FIRST</w:t>
            </w:r>
          </w:p>
          <w:p>
            <w:r>
              <w:rPr>
                <w:b/>
                <w:sz w:val="22"/>
              </w:rPr>
              <w:t>Do not let fear of saying the wrong thing keep you from asking a clear safety question.</w:t>
            </w:r>
          </w:p>
        </w:tc>
      </w:tr>
    </w:tbl>
    <w:p>
      <w:pPr>
        <w:spacing w:after="0"/>
      </w:pPr>
    </w:p>
    <w:p>
      <w:pPr>
        <w:pStyle w:val="Heading2"/>
      </w:pPr>
      <w:r>
        <w:t>Step 1 — Ask Directly When Suicide Is a Concern</w:t>
      </w:r>
    </w:p>
    <w:p>
      <w:r>
        <w:rPr>
          <w:i w:val="0"/>
        </w:rPr>
        <w:t>If a person expresses hopelessness, wanting to die, feeling like a burden, self-harm, or other suicide warning signs, ask directly and calmly. Asking about suicide does not plant the idea; current NIMH and SAMHSA guidance supports direct questioning.</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A23B3B"/>
                <w:sz w:val="18"/>
              </w:rPr>
              <w:t>SAMPLE</w:t>
            </w:r>
          </w:p>
          <w:p>
            <w:r>
              <w:rPr>
                <w:b/>
                <w:sz w:val="22"/>
              </w:rPr>
              <w:t>“Are you thinking about suicide?”</w:t>
              <w:br/>
              <w:br/>
              <w:t>If yes: “Are you in immediate danger of acting on those thoughts right now?”</w:t>
            </w:r>
          </w:p>
        </w:tc>
      </w:tr>
    </w:tbl>
    <w:p>
      <w:pPr>
        <w:spacing w:after="0"/>
      </w:pPr>
    </w:p>
    <w:p>
      <w:pPr>
        <w:pStyle w:val="Heading2"/>
      </w:pPr>
      <w:r>
        <w:t>Step 2 — Be Present</w:t>
      </w:r>
    </w:p>
    <w:p>
      <w:pPr>
        <w:pStyle w:val="ListBullet"/>
        <w:spacing w:after="40"/>
      </w:pPr>
      <w:r>
        <w:t>Listen without arguing, lecturing, shaming, or trying to prove they have reasons to live.</w:t>
      </w:r>
    </w:p>
    <w:p>
      <w:pPr>
        <w:pStyle w:val="ListBullet"/>
        <w:spacing w:after="40"/>
      </w:pPr>
      <w:r>
        <w:t>Do not act shocked.</w:t>
      </w:r>
    </w:p>
    <w:p>
      <w:pPr>
        <w:pStyle w:val="ListBullet"/>
        <w:spacing w:after="40"/>
      </w:pPr>
      <w:r>
        <w:t>Do not promise secrecy.</w:t>
      </w:r>
    </w:p>
    <w:p>
      <w:pPr>
        <w:pStyle w:val="ListBullet"/>
        <w:spacing w:after="40"/>
      </w:pPr>
      <w:r>
        <w:t>If risk appears imminent, do not leave the person alone unless remaining would put you in danger.</w:t>
      </w:r>
    </w:p>
    <w:p>
      <w:pPr>
        <w:pStyle w:val="Heading2"/>
      </w:pPr>
      <w:r>
        <w:t>Step 3 — Help Keep Them Safe</w:t>
      </w:r>
    </w:p>
    <w:p>
      <w:r>
        <w:rPr>
          <w:i w:val="0"/>
        </w:rPr>
        <w:t>When it can be done safely, reduce immediate access to lethal means and move toward a safer environment. Do not physically confront an armed or violent person or place yourself in danger.</w:t>
      </w:r>
    </w:p>
    <w:p>
      <w:pPr>
        <w:pStyle w:val="Heading2"/>
      </w:pPr>
      <w:r>
        <w:t>Step 4 — Connect</w:t>
      </w:r>
    </w:p>
    <w:p>
      <w:pPr>
        <w:pStyle w:val="ListBullet"/>
        <w:spacing w:after="40"/>
      </w:pPr>
      <w:r>
        <w:t>In the United States, call or text 988 or use 988 chat for suicide, mental-health, or substance-use crisis support. You can contact 988 about someone else.</w:t>
      </w:r>
    </w:p>
    <w:p>
      <w:pPr>
        <w:pStyle w:val="ListBullet"/>
        <w:spacing w:after="40"/>
      </w:pPr>
      <w:r>
        <w:t>Call 911 or local emergency services for imminent life-threatening danger, active violence, severe medical emergency, or a situation that requires immediate emergency response.</w:t>
      </w:r>
    </w:p>
    <w:p>
      <w:pPr>
        <w:pStyle w:val="ListBullet"/>
        <w:spacing w:after="40"/>
      </w:pPr>
      <w:r>
        <w:t>If the person already has a therapist, psychiatrist, physician, crisis plan, or trusted support person, help connect them when appropriate.</w:t>
      </w:r>
    </w:p>
    <w:p>
      <w:pPr>
        <w:pStyle w:val="Heading2"/>
      </w:pPr>
      <w:r>
        <w:t>Step 5 — Follow Up</w:t>
      </w:r>
    </w:p>
    <w:p>
      <w:r>
        <w:rPr>
          <w:i w:val="0"/>
        </w:rPr>
        <w:t>Do not treat referral as the end of care. Follow up within your role. A simple message such as “I’m thinking of you and wanted to see whether you were able to connect with support” can help preserve continuity.</w:t>
      </w:r>
    </w:p>
    <w:p>
      <w:pPr>
        <w:pStyle w:val="Heading1"/>
        <w:pageBreakBefore/>
      </w:pPr>
      <w:r>
        <w:t>Crisis Quick Card</w:t>
      </w:r>
    </w:p>
    <w:tbl>
      <w:tblPr>
        <w:tblW w:type="auto" w:w="0"/>
        <w:jc w:val="center"/>
        <w:tblLayout w:type="autofit"/>
        <w:tblLook w:firstColumn="1" w:firstRow="1" w:lastColumn="0" w:lastRow="0" w:noHBand="0" w:noVBand="1" w:val="04A0"/>
      </w:tblPr>
      <w:tblGrid>
        <w:gridCol w:w="10166"/>
      </w:tblGrid>
      <w:tr>
        <w:tc>
          <w:tcPr>
            <w:tcW w:type="dxa" w:w="10166"/>
            <w:shd w:fill="FBEAEA"/>
            <w:tcMar>
              <w:top w:w="110" w:type="dxa"/>
              <w:start w:w="140" w:type="dxa"/>
              <w:bottom w:w="110" w:type="dxa"/>
              <w:end w:w="140" w:type="dxa"/>
            </w:tcMar>
          </w:tcPr>
          <w:p>
            <w:r>
              <w:rPr>
                <w:b/>
                <w:color w:val="A23B3B"/>
                <w:sz w:val="18"/>
              </w:rPr>
              <w:t>ASK</w:t>
            </w:r>
          </w:p>
          <w:p>
            <w:r>
              <w:rPr>
                <w:b/>
                <w:sz w:val="22"/>
              </w:rPr>
              <w:t>Are you thinking about suicide?</w:t>
            </w:r>
          </w:p>
        </w:tc>
      </w:tr>
    </w:tbl>
    <w:p>
      <w:pPr>
        <w:spacing w:after="0"/>
      </w:pP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BE THERE</w:t>
            </w:r>
          </w:p>
          <w:p>
            <w:r>
              <w:rPr>
                <w:b/>
                <w:sz w:val="22"/>
              </w:rPr>
              <w:t>Listen. Stay calm. Do not debate, shame, or lecture.</w:t>
            </w:r>
          </w:p>
        </w:tc>
      </w:tr>
    </w:tbl>
    <w:p>
      <w:pPr>
        <w:spacing w:after="0"/>
      </w:pPr>
    </w:p>
    <w:tbl>
      <w:tblPr>
        <w:tblW w:type="auto" w:w="0"/>
        <w:jc w:val="center"/>
        <w:tblLayout w:type="autofit"/>
        <w:tblLook w:firstColumn="1" w:firstRow="1" w:lastColumn="0" w:lastRow="0" w:noHBand="0" w:noVBand="1" w:val="04A0"/>
      </w:tblPr>
      <w:tblGrid>
        <w:gridCol w:w="10166"/>
      </w:tblGrid>
      <w:tr>
        <w:tc>
          <w:tcPr>
            <w:tcW w:type="dxa" w:w="10166"/>
            <w:shd w:fill="FFF3E6"/>
            <w:tcMar>
              <w:top w:w="110" w:type="dxa"/>
              <w:start w:w="140" w:type="dxa"/>
              <w:bottom w:w="110" w:type="dxa"/>
              <w:end w:w="140" w:type="dxa"/>
            </w:tcMar>
          </w:tcPr>
          <w:p>
            <w:r>
              <w:rPr>
                <w:b/>
                <w:color w:val="E7864A"/>
                <w:sz w:val="18"/>
              </w:rPr>
              <w:t>KEEP SAFE</w:t>
            </w:r>
          </w:p>
          <w:p>
            <w:r>
              <w:rPr>
                <w:b/>
                <w:sz w:val="22"/>
              </w:rPr>
              <w:t>If danger is imminent, stay with the person when safe, reduce access to lethal means when it can be done safely, and get emergency/crisis help.</w:t>
            </w:r>
          </w:p>
        </w:tc>
      </w:tr>
    </w:tbl>
    <w:p>
      <w:pPr>
        <w:spacing w:after="0"/>
      </w:pPr>
    </w:p>
    <w:tbl>
      <w:tblPr>
        <w:tblW w:type="auto" w:w="0"/>
        <w:jc w:val="center"/>
        <w:tblLayout w:type="autofit"/>
        <w:tblLook w:firstColumn="1" w:firstRow="1" w:lastColumn="0" w:lastRow="0" w:noHBand="0" w:noVBand="1" w:val="04A0"/>
      </w:tblPr>
      <w:tblGrid>
        <w:gridCol w:w="10166"/>
      </w:tblGrid>
      <w:tr>
        <w:tc>
          <w:tcPr>
            <w:tcW w:type="dxa" w:w="10166"/>
            <w:shd w:fill="EEE8F7"/>
            <w:tcMar>
              <w:top w:w="110" w:type="dxa"/>
              <w:start w:w="140" w:type="dxa"/>
              <w:bottom w:w="110" w:type="dxa"/>
              <w:end w:w="140" w:type="dxa"/>
            </w:tcMar>
          </w:tcPr>
          <w:p>
            <w:r>
              <w:rPr>
                <w:b/>
                <w:color w:val="6B4FA1"/>
                <w:sz w:val="18"/>
              </w:rPr>
              <w:t>CONNECT</w:t>
            </w:r>
          </w:p>
          <w:p>
            <w:r>
              <w:rPr>
                <w:b/>
                <w:sz w:val="22"/>
              </w:rPr>
              <w:t>988 for U.S. suicide/mental-health/substance-use crisis support. 911 for immediate life-threatening danger or emergency response.</w:t>
            </w:r>
          </w:p>
        </w:tc>
      </w:tr>
    </w:tbl>
    <w:p>
      <w:pPr>
        <w:spacing w:after="0"/>
      </w:pPr>
    </w:p>
    <w:tbl>
      <w:tblPr>
        <w:tblW w:type="auto" w:w="0"/>
        <w:jc w:val="center"/>
        <w:tblLayout w:type="autofit"/>
        <w:tblLook w:firstColumn="1" w:firstRow="1" w:lastColumn="0" w:lastRow="0" w:noHBand="0" w:noVBand="1" w:val="04A0"/>
      </w:tblPr>
      <w:tblGrid>
        <w:gridCol w:w="10166"/>
      </w:tblGrid>
      <w:tr>
        <w:tc>
          <w:tcPr>
            <w:tcW w:type="dxa" w:w="10166"/>
            <w:shd w:fill="EDF5ED"/>
            <w:tcMar>
              <w:top w:w="110" w:type="dxa"/>
              <w:start w:w="140" w:type="dxa"/>
              <w:bottom w:w="110" w:type="dxa"/>
              <w:end w:w="140" w:type="dxa"/>
            </w:tcMar>
          </w:tcPr>
          <w:p>
            <w:r>
              <w:rPr>
                <w:b/>
                <w:color w:val="5C8A62"/>
                <w:sz w:val="18"/>
              </w:rPr>
              <w:t>FOLLOW UP</w:t>
            </w:r>
          </w:p>
          <w:p>
            <w:r>
              <w:rPr>
                <w:b/>
                <w:sz w:val="22"/>
              </w:rPr>
              <w:t>Keep the bridge intact. Support does not end when the call is made.</w:t>
            </w:r>
          </w:p>
        </w:tc>
      </w:tr>
    </w:tbl>
    <w:p>
      <w:pPr>
        <w:spacing w:after="0"/>
      </w:pPr>
    </w:p>
    <w:p>
      <w:pPr>
        <w:pStyle w:val="Heading2"/>
      </w:pPr>
      <w:r>
        <w:t>Crisis Documentation Prompt for Churches</w:t>
      </w:r>
    </w:p>
    <w:p>
      <w:r>
        <w:rPr>
          <w:i w:val="0"/>
        </w:rPr>
        <w:t>Organizations should establish a counsel-reviewed policy for documenting safety incidents. At minimum, a policy may specify who documents, where records are stored, what objective facts are recorded, who may access them, and how mandatory reports/emergency contacts are documented. Avoid speculative diagnoses and unnecessary details.</w:t>
      </w:r>
    </w:p>
    <w:p>
      <w:r>
        <w:rPr>
          <w:b/>
        </w:rPr>
        <w:t>Date / time / location:</w:t>
      </w:r>
    </w:p>
    <w:p>
      <w:pPr>
        <w:spacing w:after="40"/>
      </w:pPr>
      <w:r>
        <w:rPr>
          <w:color w:val="AAAAAA"/>
          <w:sz w:val="16"/>
        </w:rPr>
        <w:t>________________________________________________________________________________</w:t>
      </w:r>
    </w:p>
    <w:p>
      <w:r>
        <w:rPr>
          <w:b/>
        </w:rPr>
        <w:t>Objective concern observed or disclosed:</w:t>
      </w:r>
    </w:p>
    <w:p>
      <w:pPr>
        <w:spacing w:after="40"/>
      </w:pPr>
      <w:r>
        <w:rPr>
          <w:color w:val="AAAAAA"/>
          <w:sz w:val="16"/>
        </w:rPr>
        <w:t>________________________________________________________________________________</w:t>
      </w:r>
    </w:p>
    <w:p>
      <w:r>
        <w:rPr>
          <w:b/>
        </w:rPr>
        <w:t>Exact safety statement when important:</w:t>
      </w:r>
    </w:p>
    <w:p>
      <w:pPr>
        <w:spacing w:after="40"/>
      </w:pPr>
      <w:r>
        <w:rPr>
          <w:color w:val="AAAAAA"/>
          <w:sz w:val="16"/>
        </w:rPr>
        <w:t>________________________________________________________________________________</w:t>
      </w:r>
    </w:p>
    <w:p>
      <w:r>
        <w:rPr>
          <w:b/>
        </w:rPr>
        <w:t>Actions taken / resources contacted:</w:t>
      </w:r>
    </w:p>
    <w:p>
      <w:pPr>
        <w:spacing w:after="40"/>
      </w:pPr>
      <w:r>
        <w:rPr>
          <w:color w:val="AAAAAA"/>
          <w:sz w:val="16"/>
        </w:rPr>
        <w:t>________________________________________________________________________________</w:t>
      </w:r>
    </w:p>
    <w:p>
      <w:r>
        <w:rPr>
          <w:b/>
        </w:rPr>
        <w:t>Who was consulted or notified under policy:</w:t>
      </w:r>
    </w:p>
    <w:p>
      <w:pPr>
        <w:spacing w:after="40"/>
      </w:pPr>
      <w:r>
        <w:rPr>
          <w:color w:val="AAAAAA"/>
          <w:sz w:val="16"/>
        </w:rPr>
        <w:t>________________________________________________________________________________</w:t>
      </w:r>
    </w:p>
    <w:p>
      <w:r>
        <w:rPr>
          <w:b/>
        </w:rPr>
        <w:t>Follow-up assigned to / date:</w:t>
      </w:r>
    </w:p>
    <w:p>
      <w:pPr>
        <w:spacing w:after="40"/>
      </w:pPr>
      <w:r>
        <w:rPr>
          <w:color w:val="AAAAAA"/>
          <w:sz w:val="16"/>
        </w:rPr>
        <w:t>________________________________________________________________________________</w:t>
      </w:r>
    </w:p>
    <w:p>
      <w:pPr>
        <w:pStyle w:val="Heading1"/>
        <w:pageBreakBefore/>
      </w:pPr>
      <w:r>
        <w:t>Tool 8 — Referral Is a Bridge, Not a Goodbye</w:t>
      </w:r>
    </w:p>
    <w:p>
      <w:r>
        <w:rPr>
          <w:i w:val="0"/>
        </w:rPr>
        <w:t>Referral is an act of stewardship. It means the need has exceeded your role, training, capacity, or the level of support available in the current relationship.</w:t>
      </w:r>
    </w:p>
    <w:p>
      <w:pPr>
        <w:pStyle w:val="Heading2"/>
      </w:pPr>
      <w:r>
        <w:t>Common Referral Triggers</w:t>
      </w:r>
    </w:p>
    <w:p>
      <w:pPr>
        <w:pStyle w:val="ListBullet"/>
        <w:spacing w:after="40"/>
      </w:pPr>
      <w:r>
        <w:t>Persistent distress or impairment that is not resolving with ordinary support.</w:t>
      </w:r>
    </w:p>
    <w:p>
      <w:pPr>
        <w:pStyle w:val="ListBullet"/>
        <w:spacing w:after="40"/>
      </w:pPr>
      <w:r>
        <w:t>Trauma symptoms affecting daily functioning, relationships, sleep, or safety.</w:t>
      </w:r>
    </w:p>
    <w:p>
      <w:pPr>
        <w:pStyle w:val="ListBullet"/>
        <w:spacing w:after="40"/>
      </w:pPr>
      <w:r>
        <w:t>Suicidal thoughts, self-harm, severe hopelessness, or repeated crisis episodes.</w:t>
      </w:r>
    </w:p>
    <w:p>
      <w:pPr>
        <w:pStyle w:val="ListBullet"/>
        <w:spacing w:after="40"/>
      </w:pPr>
      <w:r>
        <w:t>Psychosis-like symptoms, severe disorganization, mania-like behavior, or major changes from baseline.</w:t>
      </w:r>
    </w:p>
    <w:p>
      <w:pPr>
        <w:pStyle w:val="ListBullet"/>
        <w:spacing w:after="40"/>
      </w:pPr>
      <w:r>
        <w:t>Substance use causing repeated impairment, withdrawal risk, overdose risk, or unsafe behavior.</w:t>
      </w:r>
    </w:p>
    <w:p>
      <w:pPr>
        <w:pStyle w:val="ListBullet"/>
        <w:spacing w:after="40"/>
      </w:pPr>
      <w:r>
        <w:t>Eating, sleep, medical, or cognitive concerns that may require medical evaluation.</w:t>
      </w:r>
    </w:p>
    <w:p>
      <w:pPr>
        <w:pStyle w:val="ListBullet"/>
        <w:spacing w:after="40"/>
      </w:pPr>
      <w:r>
        <w:t>Abuse, coercive control, stalking, sexual violence, or other safety concerns requiring specialized advocacy.</w:t>
      </w:r>
    </w:p>
    <w:p>
      <w:pPr>
        <w:pStyle w:val="ListBullet"/>
        <w:spacing w:after="40"/>
      </w:pPr>
      <w:r>
        <w:t>When you feel out of your depth, overly responsible, activated, or unable to remain objective.</w:t>
      </w:r>
    </w:p>
    <w:p>
      <w:pPr>
        <w:pStyle w:val="Heading2"/>
      </w:pPr>
      <w:r>
        <w:t>A Warm Referral</w:t>
      </w:r>
    </w:p>
    <w:p>
      <w:pPr>
        <w:pStyle w:val="ListNumber"/>
        <w:spacing w:after="40"/>
      </w:pPr>
      <w:r>
        <w:t>Explain why you are recommending more support without diagnosing.</w:t>
      </w:r>
    </w:p>
    <w:p>
      <w:pPr>
        <w:pStyle w:val="ListNumber"/>
        <w:spacing w:after="40"/>
      </w:pPr>
      <w:r>
        <w:t>Offer choices when possible.</w:t>
      </w:r>
    </w:p>
    <w:p>
      <w:pPr>
        <w:pStyle w:val="ListNumber"/>
        <w:spacing w:after="40"/>
      </w:pPr>
      <w:r>
        <w:t>Ask what barriers may make follow-through difficult: cost, transportation, fear, culture, past bad experiences, scheduling, childcare, or faith concerns.</w:t>
      </w:r>
    </w:p>
    <w:p>
      <w:pPr>
        <w:pStyle w:val="ListNumber"/>
        <w:spacing w:after="40"/>
      </w:pPr>
      <w:r>
        <w:t>When appropriate and with permission, help the person make the first contact or identify questions to ask a provider.</w:t>
      </w:r>
    </w:p>
    <w:p>
      <w:pPr>
        <w:pStyle w:val="ListNumber"/>
        <w:spacing w:after="40"/>
      </w:pPr>
      <w:r>
        <w:t>Clarify what support the church or caregiver can continue to provide.</w:t>
      </w:r>
    </w:p>
    <w:p>
      <w:pPr>
        <w:pStyle w:val="ListNumber"/>
        <w:spacing w:after="40"/>
      </w:pPr>
      <w:r>
        <w:t>Follow up without demanding clinical details.</w:t>
      </w:r>
    </w:p>
    <w:p>
      <w:pPr>
        <w:pStyle w:val="Heading2"/>
      </w:pPr>
      <w:r>
        <w:t>Questions to Ask a Potential Referral Partner</w:t>
      </w:r>
    </w:p>
    <w:p>
      <w:pPr>
        <w:pStyle w:val="ListBullet"/>
        <w:spacing w:after="40"/>
      </w:pPr>
      <w:r>
        <w:t>What populations and concerns do you serve?</w:t>
      </w:r>
    </w:p>
    <w:p>
      <w:pPr>
        <w:pStyle w:val="ListBullet"/>
        <w:spacing w:after="40"/>
      </w:pPr>
      <w:r>
        <w:t>What licenses or credentials do your clinicians hold?</w:t>
      </w:r>
    </w:p>
    <w:p>
      <w:pPr>
        <w:pStyle w:val="ListBullet"/>
        <w:spacing w:after="40"/>
      </w:pPr>
      <w:r>
        <w:t>Do you offer trauma-focused, couples, family, grief, substance-use, psychiatric, or other specialized services?</w:t>
      </w:r>
    </w:p>
    <w:p>
      <w:pPr>
        <w:pStyle w:val="ListBullet"/>
        <w:spacing w:after="40"/>
      </w:pPr>
      <w:r>
        <w:t>How do you handle urgent needs or after-hours crises?</w:t>
      </w:r>
    </w:p>
    <w:p>
      <w:pPr>
        <w:pStyle w:val="ListBullet"/>
        <w:spacing w:after="40"/>
      </w:pPr>
      <w:r>
        <w:t>What insurance, self-pay, sliding-scale, or community-payment options are available?</w:t>
      </w:r>
    </w:p>
    <w:p>
      <w:pPr>
        <w:pStyle w:val="ListBullet"/>
        <w:spacing w:after="40"/>
      </w:pPr>
      <w:r>
        <w:t>Are you comfortable respecting and, when clinically appropriate, integrating a client’s Christian faith if the client requests it?</w:t>
      </w:r>
    </w:p>
    <w:p>
      <w:pPr>
        <w:pStyle w:val="ListBullet"/>
        <w:spacing w:after="40"/>
      </w:pPr>
      <w:r>
        <w:t>What is the current wait time?</w:t>
      </w:r>
    </w:p>
    <w:p>
      <w:pPr>
        <w:pStyle w:val="ListBullet"/>
        <w:spacing w:after="40"/>
      </w:pPr>
      <w:r>
        <w:t>How should a church make a referral without disclosing unnecessary private information?</w:t>
      </w:r>
    </w:p>
    <w:tbl>
      <w:tblPr>
        <w:tblW w:type="auto" w:w="0"/>
        <w:jc w:val="center"/>
        <w:tblLayout w:type="autofit"/>
        <w:tblLook w:firstColumn="1" w:firstRow="1" w:lastColumn="0" w:lastRow="0" w:noHBand="0" w:noVBand="1" w:val="04A0"/>
      </w:tblPr>
      <w:tblGrid>
        <w:gridCol w:w="10166"/>
      </w:tblGrid>
      <w:tr>
        <w:tc>
          <w:tcPr>
            <w:tcW w:type="dxa" w:w="10166"/>
            <w:shd w:fill="EEE8F7"/>
            <w:tcMar>
              <w:top w:w="110" w:type="dxa"/>
              <w:start w:w="140" w:type="dxa"/>
              <w:bottom w:w="110" w:type="dxa"/>
              <w:end w:w="140" w:type="dxa"/>
            </w:tcMar>
          </w:tcPr>
          <w:p>
            <w:r>
              <w:rPr>
                <w:b/>
                <w:color w:val="6B4FA1"/>
                <w:sz w:val="18"/>
              </w:rPr>
              <w:t>RESOURCE</w:t>
            </w:r>
          </w:p>
          <w:p>
            <w:r>
              <w:rPr>
                <w:b/>
                <w:sz w:val="22"/>
              </w:rPr>
              <w:t>For U.S. treatment searches, SAMHSA maintains FindTreatment.gov and other treatment locators. Churches should also maintain a verified local referral list.</w:t>
            </w:r>
          </w:p>
        </w:tc>
      </w:tr>
    </w:tbl>
    <w:p>
      <w:pPr>
        <w:spacing w:after="0"/>
      </w:pPr>
    </w:p>
    <w:p>
      <w:pPr>
        <w:pStyle w:val="Heading1"/>
        <w:pageBreakBefore/>
      </w:pPr>
      <w:r>
        <w:t>Tool 9 — Ethics, Scope, Privacy &amp; Role Clarity</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CARE WISDOM</w:t>
            </w:r>
          </w:p>
          <w:p>
            <w:r>
              <w:rPr>
                <w:b/>
                <w:sz w:val="22"/>
              </w:rPr>
              <w:t>Private does not always mean secret.</w:t>
            </w:r>
          </w:p>
        </w:tc>
      </w:tr>
    </w:tbl>
    <w:p>
      <w:pPr>
        <w:spacing w:after="0"/>
      </w:pPr>
    </w:p>
    <w:p>
      <w:pPr>
        <w:pStyle w:val="Heading2"/>
      </w:pPr>
      <w:r>
        <w:t>Do Not Promise Absolute Confidentiality</w:t>
      </w:r>
    </w:p>
    <w:p>
      <w:r>
        <w:rPr>
          <w:i w:val="0"/>
        </w:rPr>
        <w:t>A pastor, minister, or lay caregiver should know the organization’s privacy and safeguarding policy before inviting sensitive disclosures. Legal duties and clergy privilege vary by jurisdiction, especially around child abuse and neglect. A responsible policy explains limits before a crisis whenever possible.</w:t>
      </w:r>
    </w:p>
    <w:p>
      <w:pPr>
        <w:pStyle w:val="Heading2"/>
      </w:pPr>
      <w:r>
        <w:t>A Simple Privacy Statement</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SAMPLE</w:t>
            </w:r>
          </w:p>
          <w:p>
            <w:r>
              <w:rPr>
                <w:b/>
                <w:sz w:val="22"/>
              </w:rPr>
              <w:t>“I will treat what you share with care and protect your privacy. There are situations involving safety, abuse, legal duties, or organizational safeguarding where I may need to involve appropriate help. If that happens, I will share only what is necessary whenever possible.”</w:t>
            </w:r>
          </w:p>
        </w:tc>
      </w:tr>
    </w:tbl>
    <w:p>
      <w:pPr>
        <w:spacing w:after="0"/>
      </w:pPr>
    </w:p>
    <w:p>
      <w:pPr>
        <w:pStyle w:val="Heading2"/>
      </w:pPr>
      <w:r>
        <w:t>Stay in Your Lane Without Becoming Cold</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Within Care</w:t>
            </w:r>
          </w:p>
        </w:tc>
        <w:tc>
          <w:tcPr>
            <w:tcW w:type="dxa" w:w="5083"/>
            <w:shd w:fill="6B4FA1"/>
          </w:tcPr>
          <w:p>
            <w:r>
              <w:rPr>
                <w:b/>
                <w:color w:val="FFFFFF"/>
              </w:rPr>
              <w:t>Outside the Role</w:t>
            </w:r>
          </w:p>
        </w:tc>
      </w:tr>
      <w:tr>
        <w:tc>
          <w:tcPr>
            <w:tcW w:type="dxa" w:w="5083"/>
            <w:vAlign w:val="top"/>
            <w:tcMar>
              <w:top w:w="80" w:type="dxa"/>
              <w:start w:w="90" w:type="dxa"/>
              <w:bottom w:w="80" w:type="dxa"/>
              <w:end w:w="90" w:type="dxa"/>
            </w:tcMar>
          </w:tcPr>
          <w:p>
            <w:pPr>
              <w:spacing w:after="40"/>
            </w:pPr>
            <w:r>
              <w:rPr>
                <w:sz w:val="18"/>
              </w:rPr>
              <w:t>Pastoral / Lay Care Can</w:t>
            </w:r>
          </w:p>
        </w:tc>
        <w:tc>
          <w:tcPr>
            <w:tcW w:type="dxa" w:w="5083"/>
            <w:vAlign w:val="top"/>
            <w:tcMar>
              <w:top w:w="80" w:type="dxa"/>
              <w:start w:w="90" w:type="dxa"/>
              <w:bottom w:w="80" w:type="dxa"/>
              <w:end w:w="90" w:type="dxa"/>
            </w:tcMar>
          </w:tcPr>
          <w:p>
            <w:pPr>
              <w:spacing w:after="40"/>
            </w:pPr>
            <w:r>
              <w:rPr>
                <w:sz w:val="18"/>
              </w:rPr>
              <w:t>Listen, pray, encourage, provide community, practical support, spiritual care, observe change, make referrals, follow up, and act on safety concerns.</w:t>
            </w:r>
          </w:p>
        </w:tc>
      </w:tr>
      <w:tr>
        <w:tc>
          <w:tcPr>
            <w:tcW w:type="dxa" w:w="5083"/>
            <w:vAlign w:val="top"/>
            <w:tcMar>
              <w:top w:w="80" w:type="dxa"/>
              <w:start w:w="90" w:type="dxa"/>
              <w:bottom w:w="80" w:type="dxa"/>
              <w:end w:w="90" w:type="dxa"/>
            </w:tcMar>
          </w:tcPr>
          <w:p>
            <w:pPr>
              <w:spacing w:after="40"/>
            </w:pPr>
            <w:r>
              <w:rPr>
                <w:sz w:val="18"/>
              </w:rPr>
              <w:t>Pastoral / Lay Care Should Not Pretend to</w:t>
            </w:r>
          </w:p>
        </w:tc>
        <w:tc>
          <w:tcPr>
            <w:tcW w:type="dxa" w:w="5083"/>
            <w:vAlign w:val="top"/>
            <w:tcMar>
              <w:top w:w="80" w:type="dxa"/>
              <w:start w:w="90" w:type="dxa"/>
              <w:bottom w:w="80" w:type="dxa"/>
              <w:end w:w="90" w:type="dxa"/>
            </w:tcMar>
          </w:tcPr>
          <w:p>
            <w:pPr>
              <w:spacing w:after="40"/>
            </w:pPr>
            <w:r>
              <w:rPr>
                <w:sz w:val="18"/>
              </w:rPr>
              <w:t>Diagnose, prescribe, conduct psychotherapy without qualification, promise clinical outcomes, manage medications, conduct forensic investigations, or become the sole crisis system.</w:t>
            </w:r>
          </w:p>
        </w:tc>
      </w:tr>
    </w:tbl>
    <w:p>
      <w:pPr>
        <w:pStyle w:val="Heading2"/>
      </w:pPr>
      <w:r>
        <w:t>Consultation Is Not Gossip</w:t>
      </w:r>
    </w:p>
    <w:p>
      <w:r>
        <w:rPr>
          <w:i w:val="0"/>
        </w:rPr>
        <w:t>Appropriate consultation is purposeful, limited, and connected to care, supervision, safety, policy, or legal duty. Gossip is curiosity-driven, unnecessary, or shared with people who do not need the information.</w:t>
      </w:r>
    </w:p>
    <w:p>
      <w:pPr>
        <w:pStyle w:val="Heading2"/>
      </w:pPr>
      <w:r>
        <w:t>Before You Share Information, Ask</w:t>
      </w:r>
    </w:p>
    <w:p>
      <w:pPr>
        <w:pStyle w:val="ListBullet"/>
        <w:spacing w:after="40"/>
      </w:pPr>
      <w:r>
        <w:t>Does this person need to know in order to protect safety, provide care, fulfill policy, or meet a legal duty?</w:t>
      </w:r>
    </w:p>
    <w:p>
      <w:pPr>
        <w:pStyle w:val="ListBullet"/>
        <w:spacing w:after="40"/>
      </w:pPr>
      <w:r>
        <w:t>Can I share less?</w:t>
      </w:r>
    </w:p>
    <w:p>
      <w:pPr>
        <w:pStyle w:val="ListBullet"/>
        <w:spacing w:after="40"/>
      </w:pPr>
      <w:r>
        <w:t>Have I obtained consent when consent is appropriate?</w:t>
      </w:r>
    </w:p>
    <w:p>
      <w:pPr>
        <w:pStyle w:val="ListBullet"/>
        <w:spacing w:after="40"/>
      </w:pPr>
      <w:r>
        <w:t>Am I sharing facts, or my interpretation?</w:t>
      </w:r>
    </w:p>
    <w:p>
      <w:pPr>
        <w:pStyle w:val="ListBullet"/>
        <w:spacing w:after="40"/>
      </w:pPr>
      <w:r>
        <w:t>Would I be comfortable explaining to the person why this information was shared?</w:t>
      </w:r>
    </w:p>
    <w:p>
      <w:pPr>
        <w:pStyle w:val="Heading1"/>
        <w:pageBreakBefore/>
      </w:pPr>
      <w:r>
        <w:t>Safeguarding &amp; Mandatory Reporting</w:t>
      </w:r>
    </w:p>
    <w:p>
      <w:r>
        <w:rPr>
          <w:i w:val="0"/>
        </w:rPr>
        <w:t>Mandatory-reporting rules are not uniform across the United States. Federal child-welfare resources document state-by-state differences in whether clergy are mandatory reporters and how clergy-penitent privilege interacts with reporting. Do not use a national church policy as a substitute for state-specific legal review.</w:t>
      </w:r>
    </w:p>
    <w:p>
      <w:pPr>
        <w:pStyle w:val="Heading2"/>
      </w:pPr>
      <w:r>
        <w:t>Church Policy Should Name</w:t>
      </w:r>
    </w:p>
    <w:p>
      <w:pPr>
        <w:pStyle w:val="ListBullet"/>
        <w:spacing w:after="40"/>
      </w:pPr>
      <w:r>
        <w:t>Who is a mandated reporter under the laws that apply to your ministry setting.</w:t>
      </w:r>
    </w:p>
    <w:p>
      <w:pPr>
        <w:pStyle w:val="ListBullet"/>
        <w:spacing w:after="40"/>
      </w:pPr>
      <w:r>
        <w:t>What triggers a report and to which agency or authority.</w:t>
      </w:r>
    </w:p>
    <w:p>
      <w:pPr>
        <w:pStyle w:val="ListBullet"/>
        <w:spacing w:after="40"/>
      </w:pPr>
      <w:r>
        <w:t>How clergy privilege is treated in the relevant jurisdiction.</w:t>
      </w:r>
    </w:p>
    <w:p>
      <w:pPr>
        <w:pStyle w:val="ListBullet"/>
        <w:spacing w:after="40"/>
      </w:pPr>
      <w:r>
        <w:t>Who staff consult internally without delaying a legally required report.</w:t>
      </w:r>
    </w:p>
    <w:p>
      <w:pPr>
        <w:pStyle w:val="ListBullet"/>
        <w:spacing w:after="40"/>
      </w:pPr>
      <w:r>
        <w:t>How reports are documented and stored.</w:t>
      </w:r>
    </w:p>
    <w:p>
      <w:pPr>
        <w:pStyle w:val="ListBullet"/>
        <w:spacing w:after="40"/>
      </w:pPr>
      <w:r>
        <w:t>How volunteers are trained.</w:t>
      </w:r>
    </w:p>
    <w:p>
      <w:pPr>
        <w:pStyle w:val="ListBullet"/>
        <w:spacing w:after="40"/>
      </w:pPr>
      <w:r>
        <w:t>How allegations involving church staff or leaders are handled without conflicts of interest.</w:t>
      </w:r>
    </w:p>
    <w:tbl>
      <w:tblPr>
        <w:tblW w:type="auto" w:w="0"/>
        <w:jc w:val="center"/>
        <w:tblLayout w:type="autofit"/>
        <w:tblLook w:firstColumn="1" w:firstRow="1" w:lastColumn="0" w:lastRow="0" w:noHBand="0" w:noVBand="1" w:val="04A0"/>
      </w:tblPr>
      <w:tblGrid>
        <w:gridCol w:w="10166"/>
      </w:tblGrid>
      <w:tr>
        <w:tc>
          <w:tcPr>
            <w:tcW w:type="dxa" w:w="10166"/>
            <w:shd w:fill="FFF3E6"/>
            <w:tcMar>
              <w:top w:w="110" w:type="dxa"/>
              <w:start w:w="140" w:type="dxa"/>
              <w:bottom w:w="110" w:type="dxa"/>
              <w:end w:w="140" w:type="dxa"/>
            </w:tcMar>
          </w:tcPr>
          <w:p>
            <w:r>
              <w:rPr>
                <w:b/>
                <w:color w:val="E7864A"/>
                <w:sz w:val="18"/>
              </w:rPr>
              <w:t>IMPORTANT</w:t>
            </w:r>
          </w:p>
          <w:p>
            <w:r>
              <w:rPr>
                <w:b/>
                <w:sz w:val="22"/>
              </w:rPr>
              <w:t>Do not investigate suspected abuse yourself in place of the authorities or trained safeguarding professionals. Preserve safety, follow reporting duties, and document objective facts under policy.</w:t>
            </w:r>
          </w:p>
        </w:tc>
      </w:tr>
    </w:tbl>
    <w:p>
      <w:pPr>
        <w:spacing w:after="0"/>
      </w:pPr>
    </w:p>
    <w:p>
      <w:pPr>
        <w:pStyle w:val="Heading1"/>
        <w:pageBreakBefore/>
      </w:pPr>
      <w:r>
        <w:t>Tool 10 — Conflict Is Not the Same as Abuse</w:t>
      </w:r>
    </w:p>
    <w:p>
      <w:r>
        <w:rPr>
          <w:i w:val="0"/>
        </w:rPr>
        <w:t>Not every painful relationship is abusive, and not every abusive relationship should be treated as a mutual communication problem. When coercive control, threats, stalking, sexual violence, physical violence, intimidation, or retaliation are present, safety planning and specialized support take priority over ordinary conflict-resolution strategies.</w:t>
      </w:r>
    </w:p>
    <w:p>
      <w:pPr>
        <w:pStyle w:val="Heading2"/>
      </w:pPr>
      <w:r>
        <w:t>When Abuse May Be Present</w:t>
      </w:r>
    </w:p>
    <w:p>
      <w:pPr>
        <w:pStyle w:val="ListBullet"/>
        <w:spacing w:after="40"/>
      </w:pPr>
      <w:r>
        <w:t>One person is afraid of the other person’s reaction.</w:t>
      </w:r>
    </w:p>
    <w:p>
      <w:pPr>
        <w:pStyle w:val="ListBullet"/>
        <w:spacing w:after="40"/>
      </w:pPr>
      <w:r>
        <w:t>There are threats, intimidation, stalking, monitoring, forced sex, physical violence, or destruction of property.</w:t>
      </w:r>
    </w:p>
    <w:p>
      <w:pPr>
        <w:pStyle w:val="ListBullet"/>
        <w:spacing w:after="40"/>
      </w:pPr>
      <w:r>
        <w:t>Money, transportation, medication, communication, children, immigration status, faith, or social relationships are used to control.</w:t>
      </w:r>
    </w:p>
    <w:p>
      <w:pPr>
        <w:pStyle w:val="ListBullet"/>
        <w:spacing w:after="40"/>
      </w:pPr>
      <w:r>
        <w:t>The harmed person is blamed for causing the abusive behavior.</w:t>
      </w:r>
    </w:p>
    <w:p>
      <w:pPr>
        <w:pStyle w:val="ListBullet"/>
        <w:spacing w:after="40"/>
      </w:pPr>
      <w:r>
        <w:t>Disclosures create risk of retaliation at home.</w:t>
      </w:r>
    </w:p>
    <w:p>
      <w:pPr>
        <w:pStyle w:val="Heading2"/>
      </w:pPr>
      <w:r>
        <w:t>Ministry Response</w:t>
      </w:r>
    </w:p>
    <w:p>
      <w:pPr>
        <w:pStyle w:val="ListNumber"/>
        <w:spacing w:after="40"/>
      </w:pPr>
      <w:r>
        <w:t>Believe the disclosure enough to take safety seriously without conducting your own investigation.</w:t>
      </w:r>
    </w:p>
    <w:p>
      <w:pPr>
        <w:pStyle w:val="ListNumber"/>
        <w:spacing w:after="40"/>
      </w:pPr>
      <w:r>
        <w:t>Avoid pressuring the person to confront the abusive partner, reconcile quickly, or disclose plans that could increase danger.</w:t>
      </w:r>
    </w:p>
    <w:p>
      <w:pPr>
        <w:pStyle w:val="ListNumber"/>
        <w:spacing w:after="40"/>
      </w:pPr>
      <w:r>
        <w:t>Connect to specialized domestic-violence or sexual-violence advocates and safety-planning resources.</w:t>
      </w:r>
    </w:p>
    <w:p>
      <w:pPr>
        <w:pStyle w:val="ListNumber"/>
        <w:spacing w:after="40"/>
      </w:pPr>
      <w:r>
        <w:t>Do not automatically default to joint counseling when abuse or coercive control is suspected; specialized guidance is needed because joint settings can create additional risk.</w:t>
      </w:r>
    </w:p>
    <w:p>
      <w:pPr>
        <w:pStyle w:val="ListNumber"/>
        <w:spacing w:after="40"/>
      </w:pPr>
      <w:r>
        <w:t>Follow applicable reporting and safeguarding law when children, vulnerable persons, or other reportable concerns are involved.</w:t>
      </w:r>
    </w:p>
    <w:tbl>
      <w:tblPr>
        <w:tblW w:type="auto" w:w="0"/>
        <w:jc w:val="center"/>
        <w:tblLayout w:type="autofit"/>
        <w:tblLook w:firstColumn="1" w:firstRow="1" w:lastColumn="0" w:lastRow="0" w:noHBand="0" w:noVBand="1" w:val="04A0"/>
      </w:tblPr>
      <w:tblGrid>
        <w:gridCol w:w="10166"/>
      </w:tblGrid>
      <w:tr>
        <w:tc>
          <w:tcPr>
            <w:tcW w:type="dxa" w:w="10166"/>
            <w:shd w:fill="FBEAEA"/>
            <w:tcMar>
              <w:top w:w="110" w:type="dxa"/>
              <w:start w:w="140" w:type="dxa"/>
              <w:bottom w:w="110" w:type="dxa"/>
              <w:end w:w="140" w:type="dxa"/>
            </w:tcMar>
          </w:tcPr>
          <w:p>
            <w:r>
              <w:rPr>
                <w:b/>
                <w:color w:val="A23B3B"/>
                <w:sz w:val="18"/>
              </w:rPr>
              <w:t>SAFETY PRINCIPLE</w:t>
            </w:r>
          </w:p>
          <w:p>
            <w:r>
              <w:rPr>
                <w:b/>
                <w:sz w:val="22"/>
              </w:rPr>
              <w:t>Safety comes before reconciliation strategy.</w:t>
            </w:r>
          </w:p>
        </w:tc>
      </w:tr>
    </w:tbl>
    <w:p>
      <w:pPr>
        <w:spacing w:after="0"/>
      </w:pPr>
    </w:p>
    <w:p>
      <w:pPr>
        <w:pStyle w:val="Heading1"/>
        <w:pageBreakBefore/>
      </w:pPr>
      <w:r>
        <w:t>Tool 11 — Grief &amp; Holiday Support Guide</w:t>
      </w:r>
    </w:p>
    <w:p>
      <w:r>
        <w:rPr>
          <w:i w:val="0"/>
        </w:rPr>
        <w:t>Your grief material emphasizes that grief is deeply personal, not linear, and can involve primary loss, secondary losses, identity shifts, relationship changes, altered routines, isolation, triggers, guilt, and changed traditions. Compassion means understanding and supporting—not fixing.</w:t>
      </w:r>
    </w:p>
    <w:p>
      <w:pPr>
        <w:pStyle w:val="Heading2"/>
      </w:pPr>
      <w:r>
        <w:t>What Grieving People May Need</w:t>
      </w:r>
    </w:p>
    <w:p>
      <w:pPr>
        <w:pStyle w:val="ListBullet"/>
        <w:spacing w:after="40"/>
      </w:pPr>
      <w:r>
        <w:t>Permission to feel more than one emotion at the same time.</w:t>
      </w:r>
    </w:p>
    <w:p>
      <w:pPr>
        <w:pStyle w:val="ListBullet"/>
        <w:spacing w:after="40"/>
      </w:pPr>
      <w:r>
        <w:t>Freedom from a timetable.</w:t>
      </w:r>
    </w:p>
    <w:p>
      <w:pPr>
        <w:pStyle w:val="ListBullet"/>
        <w:spacing w:after="40"/>
      </w:pPr>
      <w:r>
        <w:t>Practical help without pressure to socialize.</w:t>
      </w:r>
    </w:p>
    <w:p>
      <w:pPr>
        <w:pStyle w:val="ListBullet"/>
        <w:spacing w:after="40"/>
      </w:pPr>
      <w:r>
        <w:t>Room to change traditions.</w:t>
      </w:r>
    </w:p>
    <w:p>
      <w:pPr>
        <w:pStyle w:val="ListBullet"/>
        <w:spacing w:after="40"/>
      </w:pPr>
      <w:r>
        <w:t>A listening ear without advice.</w:t>
      </w:r>
    </w:p>
    <w:p>
      <w:pPr>
        <w:pStyle w:val="ListBullet"/>
        <w:spacing w:after="40"/>
      </w:pPr>
      <w:r>
        <w:t>Acknowledgment of secondary losses: role, income, routines, identity, community, future expectations.</w:t>
      </w:r>
    </w:p>
    <w:p>
      <w:pPr>
        <w:pStyle w:val="ListBullet"/>
        <w:spacing w:after="40"/>
      </w:pPr>
      <w:r>
        <w:t>Follow-up after the funeral, holiday, anniversary, or public attention has passed.</w:t>
      </w:r>
    </w:p>
    <w:p>
      <w:pPr>
        <w:pStyle w:val="Heading2"/>
      </w:pPr>
      <w:r>
        <w:t>What to Say</w:t>
      </w:r>
    </w:p>
    <w:p>
      <w:pPr>
        <w:pStyle w:val="ListBullet"/>
        <w:spacing w:after="40"/>
      </w:pPr>
      <w:r>
        <w:t>“I remember.”</w:t>
      </w:r>
    </w:p>
    <w:p>
      <w:pPr>
        <w:pStyle w:val="ListBullet"/>
        <w:spacing w:after="40"/>
      </w:pPr>
      <w:r>
        <w:t>“You do not have to make this season look normal.”</w:t>
      </w:r>
    </w:p>
    <w:p>
      <w:pPr>
        <w:pStyle w:val="ListBullet"/>
        <w:spacing w:after="40"/>
      </w:pPr>
      <w:r>
        <w:t>“Would you like company, practical help, or some space?”</w:t>
      </w:r>
    </w:p>
    <w:p>
      <w:pPr>
        <w:pStyle w:val="ListBullet"/>
        <w:spacing w:after="40"/>
      </w:pPr>
      <w:r>
        <w:t>“What tradition feels meaningful to keep? What feels okay to release this year?”</w:t>
      </w:r>
    </w:p>
    <w:p>
      <w:pPr>
        <w:pStyle w:val="ListBullet"/>
        <w:spacing w:after="40"/>
      </w:pPr>
      <w:r>
        <w:t>“I can listen without trying to fix it.”</w:t>
      </w:r>
    </w:p>
    <w:p>
      <w:pPr>
        <w:pStyle w:val="Heading2"/>
      </w:pPr>
      <w:r>
        <w:t>What Not to Say</w:t>
      </w:r>
    </w:p>
    <w:p>
      <w:pPr>
        <w:pStyle w:val="ListBullet"/>
        <w:spacing w:after="40"/>
      </w:pPr>
      <w:r>
        <w:t>“Everything happens for a reason.”</w:t>
      </w:r>
    </w:p>
    <w:p>
      <w:pPr>
        <w:pStyle w:val="ListBullet"/>
        <w:spacing w:after="40"/>
      </w:pPr>
      <w:r>
        <w:t>“At least…” statements that minimize the loss.</w:t>
      </w:r>
    </w:p>
    <w:p>
      <w:pPr>
        <w:pStyle w:val="ListBullet"/>
        <w:spacing w:after="40"/>
      </w:pPr>
      <w:r>
        <w:t>“You should be over this by now.”</w:t>
      </w:r>
    </w:p>
    <w:p>
      <w:pPr>
        <w:pStyle w:val="ListBullet"/>
        <w:spacing w:after="40"/>
      </w:pPr>
      <w:r>
        <w:t>“Be strong for everyone else.”</w:t>
      </w:r>
    </w:p>
    <w:p>
      <w:pPr>
        <w:pStyle w:val="ListBullet"/>
        <w:spacing w:after="40"/>
      </w:pPr>
      <w:r>
        <w:t>“God needed another angel.”</w:t>
      </w:r>
    </w:p>
    <w:p>
      <w:pPr>
        <w:pStyle w:val="ListBullet"/>
        <w:spacing w:after="40"/>
      </w:pPr>
      <w:r>
        <w:t>Any statement that turns grief into a test of faith or pressures the person to perform gratitude, celebration, or closure.</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CARE WISDOM</w:t>
            </w:r>
          </w:p>
          <w:p>
            <w:r>
              <w:rPr>
                <w:b/>
                <w:sz w:val="22"/>
              </w:rPr>
              <w:t>Compassion is understanding, not fixing.</w:t>
            </w:r>
          </w:p>
        </w:tc>
      </w:tr>
    </w:tbl>
    <w:p>
      <w:pPr>
        <w:spacing w:after="0"/>
      </w:pPr>
    </w:p>
    <w:p>
      <w:pPr>
        <w:pStyle w:val="Heading2"/>
      </w:pPr>
      <w:r>
        <w:t>Holiday Planning Worksheet</w:t>
      </w:r>
    </w:p>
    <w:p>
      <w:r>
        <w:rPr>
          <w:b/>
        </w:rPr>
        <w:t>What dates, traditions, places, songs, foods, or gatherings may be especially difficult?</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do I want to keep this year?</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am I giving myself permission to change or skip?</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Who can I contact if grief becomes overwhelming?</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practical support would make the season gentler?</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How can I honor the person or loss in a way that feels meaningful?</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Tool 12 — Boundary Language for Ministers &amp; Families</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CARE WISDOM</w:t>
            </w:r>
          </w:p>
          <w:p>
            <w:r>
              <w:rPr>
                <w:b/>
                <w:sz w:val="22"/>
              </w:rPr>
              <w:t>No is not rejection. It is alignment.</w:t>
            </w:r>
          </w:p>
        </w:tc>
      </w:tr>
    </w:tbl>
    <w:p>
      <w:pPr>
        <w:spacing w:after="0"/>
      </w:pPr>
    </w:p>
    <w:p>
      <w:pPr>
        <w:pStyle w:val="Heading2"/>
      </w:pPr>
      <w:r>
        <w:t>Time Boundaries</w:t>
      </w:r>
    </w:p>
    <w:p>
      <w:pPr>
        <w:pStyle w:val="ListBullet"/>
        <w:spacing w:after="40"/>
      </w:pPr>
      <w:r>
        <w:t>“I’m not available tonight, but I can talk tomorrow at 10:00.”</w:t>
      </w:r>
    </w:p>
    <w:p>
      <w:pPr>
        <w:pStyle w:val="ListBullet"/>
        <w:spacing w:after="40"/>
      </w:pPr>
      <w:r>
        <w:t>“I can give this twenty minutes right now.”</w:t>
      </w:r>
    </w:p>
    <w:p>
      <w:pPr>
        <w:pStyle w:val="ListBullet"/>
        <w:spacing w:after="40"/>
      </w:pPr>
      <w:r>
        <w:t>“For after-hours crisis support, this needs a crisis resource rather than waiting for me to answer.”</w:t>
      </w:r>
    </w:p>
    <w:p>
      <w:pPr>
        <w:pStyle w:val="Heading2"/>
      </w:pPr>
      <w:r>
        <w:t>Role Boundaries</w:t>
      </w:r>
    </w:p>
    <w:p>
      <w:pPr>
        <w:pStyle w:val="ListBullet"/>
        <w:spacing w:after="40"/>
      </w:pPr>
      <w:r>
        <w:t>“I can provide pastoral support, but I cannot provide therapy.”</w:t>
      </w:r>
    </w:p>
    <w:p>
      <w:pPr>
        <w:pStyle w:val="ListBullet"/>
        <w:spacing w:after="40"/>
      </w:pPr>
      <w:r>
        <w:t>“I can pray with you and help you find a qualified professional.”</w:t>
      </w:r>
    </w:p>
    <w:p>
      <w:pPr>
        <w:pStyle w:val="ListBullet"/>
        <w:spacing w:after="40"/>
      </w:pPr>
      <w:r>
        <w:t>“I am not the right person to mediate this safely. We need a more appropriate resource.”</w:t>
      </w:r>
    </w:p>
    <w:p>
      <w:pPr>
        <w:pStyle w:val="Heading2"/>
      </w:pPr>
      <w:r>
        <w:t>Family Boundaries</w:t>
      </w:r>
    </w:p>
    <w:p>
      <w:pPr>
        <w:pStyle w:val="ListBullet"/>
        <w:spacing w:after="40"/>
      </w:pPr>
      <w:r>
        <w:t>“I love you, and I will not stay in a conversation where I am being threatened or insulted.”</w:t>
      </w:r>
    </w:p>
    <w:p>
      <w:pPr>
        <w:pStyle w:val="ListBullet"/>
        <w:spacing w:after="40"/>
      </w:pPr>
      <w:r>
        <w:t>“I can help with this part. I cannot take over the entire responsibility.”</w:t>
      </w:r>
    </w:p>
    <w:p>
      <w:pPr>
        <w:pStyle w:val="ListBullet"/>
        <w:spacing w:after="40"/>
      </w:pPr>
      <w:r>
        <w:t>“Understanding why this happens does not mean I have to accept harmful behavior.”</w:t>
      </w:r>
    </w:p>
    <w:p>
      <w:pPr>
        <w:pStyle w:val="Heading2"/>
      </w:pPr>
      <w:r>
        <w:t>Emotional Boundaries</w:t>
      </w:r>
    </w:p>
    <w:p>
      <w:pPr>
        <w:pStyle w:val="ListBullet"/>
        <w:spacing w:after="40"/>
      </w:pPr>
      <w:r>
        <w:t>“I can care about your feelings without making myself responsible for changing them.”</w:t>
      </w:r>
    </w:p>
    <w:p>
      <w:pPr>
        <w:pStyle w:val="ListBullet"/>
        <w:spacing w:after="40"/>
      </w:pPr>
      <w:r>
        <w:t>“You are allowed to be disappointed with my answer.”</w:t>
      </w:r>
    </w:p>
    <w:p>
      <w:pPr>
        <w:pStyle w:val="ListBullet"/>
        <w:spacing w:after="40"/>
      </w:pPr>
      <w:r>
        <w:t>“I need time before I respond.”</w:t>
      </w:r>
    </w:p>
    <w:p>
      <w:pPr>
        <w:pStyle w:val="Heading2"/>
      </w:pPr>
      <w:r>
        <w:t>Referral Boundaries</w:t>
      </w:r>
    </w:p>
    <w:p>
      <w:pPr>
        <w:pStyle w:val="ListBullet"/>
        <w:spacing w:after="40"/>
      </w:pPr>
      <w:r>
        <w:t>“This has moved beyond what I can responsibly hold in pastoral care alone.”</w:t>
      </w:r>
    </w:p>
    <w:p>
      <w:pPr>
        <w:pStyle w:val="ListBullet"/>
        <w:spacing w:after="40"/>
      </w:pPr>
      <w:r>
        <w:t>“I want to stay connected, and I also need professional support to be part of the plan.”</w:t>
      </w:r>
    </w:p>
    <w:p>
      <w:pPr>
        <w:pStyle w:val="ListBullet"/>
        <w:spacing w:after="40"/>
      </w:pPr>
      <w:r>
        <w:t>“I will not pretend I am the answer when this needs a team.”</w:t>
      </w:r>
    </w:p>
    <w:p>
      <w:pPr>
        <w:pStyle w:val="Heading1"/>
        <w:pageBreakBefore/>
      </w:pPr>
      <w:r>
        <w:t>Tool 13 — Protect the Lamp: Caregiver Stewardship Protocol</w:t>
      </w:r>
    </w:p>
    <w:p>
      <w:r>
        <w:rPr>
          <w:i w:val="0"/>
        </w:rPr>
        <w:t>Your Proverbs 31 teaching describes the lamp as protected and persistent through the night. The goal is not to glorify exhaustion. A care system that burns through caregivers is not sustainable care.</w:t>
      </w:r>
    </w:p>
    <w:p>
      <w:pPr>
        <w:pStyle w:val="Heading2"/>
      </w:pPr>
      <w:r>
        <w:t>After a Heavy Care Conversation</w:t>
      </w:r>
    </w:p>
    <w:p>
      <w:pPr>
        <w:pStyle w:val="ListNumber"/>
        <w:spacing w:after="40"/>
      </w:pPr>
      <w:r>
        <w:t>Pause before immediately taking another care call when possible.</w:t>
      </w:r>
    </w:p>
    <w:p>
      <w:pPr>
        <w:pStyle w:val="ListNumber"/>
        <w:spacing w:after="40"/>
      </w:pPr>
      <w:r>
        <w:t>Notice your body: breathing, muscle tension, nausea, fatigue, agitation, numbness, headache, or racing thoughts.</w:t>
      </w:r>
    </w:p>
    <w:p>
      <w:pPr>
        <w:pStyle w:val="ListNumber"/>
        <w:spacing w:after="40"/>
      </w:pPr>
      <w:r>
        <w:t>Name what is yours and what belongs to the person you served.</w:t>
      </w:r>
    </w:p>
    <w:p>
      <w:pPr>
        <w:pStyle w:val="ListNumber"/>
        <w:spacing w:after="40"/>
      </w:pPr>
      <w:r>
        <w:t>Consult appropriately when the situation exceeded your role, activated you, or involved safety concerns.</w:t>
      </w:r>
    </w:p>
    <w:p>
      <w:pPr>
        <w:pStyle w:val="ListNumber"/>
        <w:spacing w:after="40"/>
      </w:pPr>
      <w:r>
        <w:t>Use a brief grounding practice: prayer, paced breathing, movement, hydration, food, fresh air, journaling, or quiet.</w:t>
      </w:r>
    </w:p>
    <w:p>
      <w:pPr>
        <w:pStyle w:val="ListNumber"/>
        <w:spacing w:after="40"/>
      </w:pPr>
      <w:r>
        <w:t>Follow through on the action you actually promised—then release what you did not promise.</w:t>
      </w:r>
    </w:p>
    <w:p>
      <w:pPr>
        <w:pStyle w:val="Heading2"/>
      </w:pPr>
      <w:r>
        <w:t>Weekly Caregiver Check</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6B4FA1"/>
          </w:tcPr>
          <w:p>
            <w:r>
              <w:rPr>
                <w:b/>
                <w:color w:val="FFFFFF"/>
                <w:sz w:val="17"/>
              </w:rPr>
              <w:t>Domain</w:t>
            </w:r>
          </w:p>
        </w:tc>
        <w:tc>
          <w:tcPr>
            <w:tcW w:type="dxa" w:w="2541"/>
            <w:shd w:fill="6B4FA1"/>
          </w:tcPr>
          <w:p>
            <w:r>
              <w:rPr>
                <w:b/>
                <w:color w:val="FFFFFF"/>
                <w:sz w:val="17"/>
              </w:rPr>
              <w:t>Green</w:t>
            </w:r>
          </w:p>
        </w:tc>
        <w:tc>
          <w:tcPr>
            <w:tcW w:type="dxa" w:w="2541"/>
            <w:shd w:fill="6B4FA1"/>
          </w:tcPr>
          <w:p>
            <w:r>
              <w:rPr>
                <w:b/>
                <w:color w:val="FFFFFF"/>
                <w:sz w:val="17"/>
              </w:rPr>
              <w:t>Yellow</w:t>
            </w:r>
          </w:p>
        </w:tc>
        <w:tc>
          <w:tcPr>
            <w:tcW w:type="dxa" w:w="2541"/>
            <w:shd w:fill="6B4FA1"/>
          </w:tcPr>
          <w:p>
            <w:r>
              <w:rPr>
                <w:b/>
                <w:color w:val="FFFFFF"/>
                <w:sz w:val="17"/>
              </w:rPr>
              <w:t>Red</w:t>
            </w:r>
          </w:p>
        </w:tc>
      </w:tr>
      <w:tr>
        <w:tc>
          <w:tcPr>
            <w:tcW w:type="dxa" w:w="2541"/>
            <w:tcMar>
              <w:top w:w="60" w:type="dxa"/>
              <w:start w:w="65" w:type="dxa"/>
              <w:bottom w:w="60" w:type="dxa"/>
              <w:end w:w="65" w:type="dxa"/>
            </w:tcMar>
          </w:tcPr>
          <w:p>
            <w:pPr>
              <w:spacing w:after="20"/>
            </w:pPr>
            <w:r>
              <w:rPr>
                <w:sz w:val="16"/>
              </w:rPr>
              <w:t>Body</w:t>
            </w:r>
          </w:p>
        </w:tc>
        <w:tc>
          <w:tcPr>
            <w:tcW w:type="dxa" w:w="2541"/>
            <w:tcMar>
              <w:top w:w="60" w:type="dxa"/>
              <w:start w:w="65" w:type="dxa"/>
              <w:bottom w:w="60" w:type="dxa"/>
              <w:end w:w="65" w:type="dxa"/>
            </w:tcMar>
          </w:tcPr>
          <w:p>
            <w:pPr>
              <w:spacing w:after="20"/>
            </w:pPr>
            <w:r>
              <w:rPr>
                <w:sz w:val="16"/>
              </w:rPr>
              <w:t>Rested enough; basic needs intact</w:t>
            </w:r>
          </w:p>
        </w:tc>
        <w:tc>
          <w:tcPr>
            <w:tcW w:type="dxa" w:w="2541"/>
            <w:tcMar>
              <w:top w:w="60" w:type="dxa"/>
              <w:start w:w="65" w:type="dxa"/>
              <w:bottom w:w="60" w:type="dxa"/>
              <w:end w:w="65" w:type="dxa"/>
            </w:tcMar>
          </w:tcPr>
          <w:p>
            <w:pPr>
              <w:spacing w:after="20"/>
            </w:pPr>
            <w:r>
              <w:rPr>
                <w:sz w:val="16"/>
              </w:rPr>
              <w:t>Fatigue, sleep disruption, tension</w:t>
            </w:r>
          </w:p>
        </w:tc>
        <w:tc>
          <w:tcPr>
            <w:tcW w:type="dxa" w:w="2541"/>
            <w:tcMar>
              <w:top w:w="60" w:type="dxa"/>
              <w:start w:w="65" w:type="dxa"/>
              <w:bottom w:w="60" w:type="dxa"/>
              <w:end w:w="65" w:type="dxa"/>
            </w:tcMar>
          </w:tcPr>
          <w:p>
            <w:pPr>
              <w:spacing w:after="20"/>
            </w:pPr>
            <w:r>
              <w:rPr>
                <w:sz w:val="16"/>
              </w:rPr>
              <w:t>Persistent exhaustion, illness, unable to recover</w:t>
            </w:r>
          </w:p>
        </w:tc>
      </w:tr>
      <w:tr>
        <w:tc>
          <w:tcPr>
            <w:tcW w:type="dxa" w:w="2541"/>
            <w:tcMar>
              <w:top w:w="60" w:type="dxa"/>
              <w:start w:w="65" w:type="dxa"/>
              <w:bottom w:w="60" w:type="dxa"/>
              <w:end w:w="65" w:type="dxa"/>
            </w:tcMar>
          </w:tcPr>
          <w:p>
            <w:pPr>
              <w:spacing w:after="20"/>
            </w:pPr>
            <w:r>
              <w:rPr>
                <w:sz w:val="16"/>
              </w:rPr>
              <w:t>Emotions</w:t>
            </w:r>
          </w:p>
        </w:tc>
        <w:tc>
          <w:tcPr>
            <w:tcW w:type="dxa" w:w="2541"/>
            <w:tcMar>
              <w:top w:w="60" w:type="dxa"/>
              <w:start w:w="65" w:type="dxa"/>
              <w:bottom w:w="60" w:type="dxa"/>
              <w:end w:w="65" w:type="dxa"/>
            </w:tcMar>
          </w:tcPr>
          <w:p>
            <w:pPr>
              <w:spacing w:after="20"/>
            </w:pPr>
            <w:r>
              <w:rPr>
                <w:sz w:val="16"/>
              </w:rPr>
              <w:t>Compassion with perspective</w:t>
            </w:r>
          </w:p>
        </w:tc>
        <w:tc>
          <w:tcPr>
            <w:tcW w:type="dxa" w:w="2541"/>
            <w:tcMar>
              <w:top w:w="60" w:type="dxa"/>
              <w:start w:w="65" w:type="dxa"/>
              <w:bottom w:w="60" w:type="dxa"/>
              <w:end w:w="65" w:type="dxa"/>
            </w:tcMar>
          </w:tcPr>
          <w:p>
            <w:pPr>
              <w:spacing w:after="20"/>
            </w:pPr>
            <w:r>
              <w:rPr>
                <w:sz w:val="16"/>
              </w:rPr>
              <w:t>Irritable, numb, overly responsible</w:t>
            </w:r>
          </w:p>
        </w:tc>
        <w:tc>
          <w:tcPr>
            <w:tcW w:type="dxa" w:w="2541"/>
            <w:tcMar>
              <w:top w:w="60" w:type="dxa"/>
              <w:start w:w="65" w:type="dxa"/>
              <w:bottom w:w="60" w:type="dxa"/>
              <w:end w:w="65" w:type="dxa"/>
            </w:tcMar>
          </w:tcPr>
          <w:p>
            <w:pPr>
              <w:spacing w:after="20"/>
            </w:pPr>
            <w:r>
              <w:rPr>
                <w:sz w:val="16"/>
              </w:rPr>
              <w:t>Dread, resentment, panic, hopelessness</w:t>
            </w:r>
          </w:p>
        </w:tc>
      </w:tr>
      <w:tr>
        <w:tc>
          <w:tcPr>
            <w:tcW w:type="dxa" w:w="2541"/>
            <w:tcMar>
              <w:top w:w="60" w:type="dxa"/>
              <w:start w:w="65" w:type="dxa"/>
              <w:bottom w:w="60" w:type="dxa"/>
              <w:end w:w="65" w:type="dxa"/>
            </w:tcMar>
          </w:tcPr>
          <w:p>
            <w:pPr>
              <w:spacing w:after="20"/>
            </w:pPr>
            <w:r>
              <w:rPr>
                <w:sz w:val="16"/>
              </w:rPr>
              <w:t>Thinking</w:t>
            </w:r>
          </w:p>
        </w:tc>
        <w:tc>
          <w:tcPr>
            <w:tcW w:type="dxa" w:w="2541"/>
            <w:tcMar>
              <w:top w:w="60" w:type="dxa"/>
              <w:start w:w="65" w:type="dxa"/>
              <w:bottom w:w="60" w:type="dxa"/>
              <w:end w:w="65" w:type="dxa"/>
            </w:tcMar>
          </w:tcPr>
          <w:p>
            <w:pPr>
              <w:spacing w:after="20"/>
            </w:pPr>
            <w:r>
              <w:rPr>
                <w:sz w:val="16"/>
              </w:rPr>
              <w:t>Clear boundaries and decisions</w:t>
            </w:r>
          </w:p>
        </w:tc>
        <w:tc>
          <w:tcPr>
            <w:tcW w:type="dxa" w:w="2541"/>
            <w:tcMar>
              <w:top w:w="60" w:type="dxa"/>
              <w:start w:w="65" w:type="dxa"/>
              <w:bottom w:w="60" w:type="dxa"/>
              <w:end w:w="65" w:type="dxa"/>
            </w:tcMar>
          </w:tcPr>
          <w:p>
            <w:pPr>
              <w:spacing w:after="20"/>
            </w:pPr>
            <w:r>
              <w:rPr>
                <w:sz w:val="16"/>
              </w:rPr>
              <w:t>Rumination, guilt, intrusive replay</w:t>
            </w:r>
          </w:p>
        </w:tc>
        <w:tc>
          <w:tcPr>
            <w:tcW w:type="dxa" w:w="2541"/>
            <w:tcMar>
              <w:top w:w="60" w:type="dxa"/>
              <w:start w:w="65" w:type="dxa"/>
              <w:bottom w:w="60" w:type="dxa"/>
              <w:end w:w="65" w:type="dxa"/>
            </w:tcMar>
          </w:tcPr>
          <w:p>
            <w:pPr>
              <w:spacing w:after="20"/>
            </w:pPr>
            <w:r>
              <w:rPr>
                <w:sz w:val="16"/>
              </w:rPr>
              <w:t>Cannot disengage; judgment impaired</w:t>
            </w:r>
          </w:p>
        </w:tc>
      </w:tr>
      <w:tr>
        <w:tc>
          <w:tcPr>
            <w:tcW w:type="dxa" w:w="2541"/>
            <w:tcMar>
              <w:top w:w="60" w:type="dxa"/>
              <w:start w:w="65" w:type="dxa"/>
              <w:bottom w:w="60" w:type="dxa"/>
              <w:end w:w="65" w:type="dxa"/>
            </w:tcMar>
          </w:tcPr>
          <w:p>
            <w:pPr>
              <w:spacing w:after="20"/>
            </w:pPr>
            <w:r>
              <w:rPr>
                <w:sz w:val="16"/>
              </w:rPr>
              <w:t>Relationships</w:t>
            </w:r>
          </w:p>
        </w:tc>
        <w:tc>
          <w:tcPr>
            <w:tcW w:type="dxa" w:w="2541"/>
            <w:tcMar>
              <w:top w:w="60" w:type="dxa"/>
              <w:start w:w="65" w:type="dxa"/>
              <w:bottom w:w="60" w:type="dxa"/>
              <w:end w:w="65" w:type="dxa"/>
            </w:tcMar>
          </w:tcPr>
          <w:p>
            <w:pPr>
              <w:spacing w:after="20"/>
            </w:pPr>
            <w:r>
              <w:rPr>
                <w:sz w:val="16"/>
              </w:rPr>
              <w:t>Still connected to own life</w:t>
            </w:r>
          </w:p>
        </w:tc>
        <w:tc>
          <w:tcPr>
            <w:tcW w:type="dxa" w:w="2541"/>
            <w:tcMar>
              <w:top w:w="60" w:type="dxa"/>
              <w:start w:w="65" w:type="dxa"/>
              <w:bottom w:w="60" w:type="dxa"/>
              <w:end w:w="65" w:type="dxa"/>
            </w:tcMar>
          </w:tcPr>
          <w:p>
            <w:pPr>
              <w:spacing w:after="20"/>
            </w:pPr>
            <w:r>
              <w:rPr>
                <w:sz w:val="16"/>
              </w:rPr>
              <w:t>Withdrawing or overworking</w:t>
            </w:r>
          </w:p>
        </w:tc>
        <w:tc>
          <w:tcPr>
            <w:tcW w:type="dxa" w:w="2541"/>
            <w:tcMar>
              <w:top w:w="60" w:type="dxa"/>
              <w:start w:w="65" w:type="dxa"/>
              <w:bottom w:w="60" w:type="dxa"/>
              <w:end w:w="65" w:type="dxa"/>
            </w:tcMar>
          </w:tcPr>
          <w:p>
            <w:pPr>
              <w:spacing w:after="20"/>
            </w:pPr>
            <w:r>
              <w:rPr>
                <w:sz w:val="16"/>
              </w:rPr>
              <w:t>Family/relationships significantly harmed</w:t>
            </w:r>
          </w:p>
        </w:tc>
      </w:tr>
      <w:tr>
        <w:tc>
          <w:tcPr>
            <w:tcW w:type="dxa" w:w="2541"/>
            <w:tcMar>
              <w:top w:w="60" w:type="dxa"/>
              <w:start w:w="65" w:type="dxa"/>
              <w:bottom w:w="60" w:type="dxa"/>
              <w:end w:w="65" w:type="dxa"/>
            </w:tcMar>
          </w:tcPr>
          <w:p>
            <w:pPr>
              <w:spacing w:after="20"/>
            </w:pPr>
            <w:r>
              <w:rPr>
                <w:sz w:val="16"/>
              </w:rPr>
              <w:t>Spiritual</w:t>
            </w:r>
          </w:p>
        </w:tc>
        <w:tc>
          <w:tcPr>
            <w:tcW w:type="dxa" w:w="2541"/>
            <w:tcMar>
              <w:top w:w="60" w:type="dxa"/>
              <w:start w:w="65" w:type="dxa"/>
              <w:bottom w:w="60" w:type="dxa"/>
              <w:end w:w="65" w:type="dxa"/>
            </w:tcMar>
          </w:tcPr>
          <w:p>
            <w:pPr>
              <w:spacing w:after="20"/>
            </w:pPr>
            <w:r>
              <w:rPr>
                <w:sz w:val="16"/>
              </w:rPr>
              <w:t>Prayer and faith feel grounding</w:t>
            </w:r>
          </w:p>
        </w:tc>
        <w:tc>
          <w:tcPr>
            <w:tcW w:type="dxa" w:w="2541"/>
            <w:tcMar>
              <w:top w:w="60" w:type="dxa"/>
              <w:start w:w="65" w:type="dxa"/>
              <w:bottom w:w="60" w:type="dxa"/>
              <w:end w:w="65" w:type="dxa"/>
            </w:tcMar>
          </w:tcPr>
          <w:p>
            <w:pPr>
              <w:spacing w:after="20"/>
            </w:pPr>
            <w:r>
              <w:rPr>
                <w:sz w:val="16"/>
              </w:rPr>
              <w:t>Serving without replenishment</w:t>
            </w:r>
          </w:p>
        </w:tc>
        <w:tc>
          <w:tcPr>
            <w:tcW w:type="dxa" w:w="2541"/>
            <w:tcMar>
              <w:top w:w="60" w:type="dxa"/>
              <w:start w:w="65" w:type="dxa"/>
              <w:bottom w:w="60" w:type="dxa"/>
              <w:end w:w="65" w:type="dxa"/>
            </w:tcMar>
          </w:tcPr>
          <w:p>
            <w:pPr>
              <w:spacing w:after="20"/>
            </w:pPr>
            <w:r>
              <w:rPr>
                <w:sz w:val="16"/>
              </w:rPr>
              <w:t>Using ministry to avoid own pain; spiritual depletion</w:t>
            </w:r>
          </w:p>
        </w:tc>
      </w:tr>
    </w:tbl>
    <w:p>
      <w:pPr>
        <w:pStyle w:val="Heading2"/>
      </w:pPr>
      <w:r>
        <w:t>If You Are in Yellow</w:t>
      </w:r>
    </w:p>
    <w:p>
      <w:pPr>
        <w:pStyle w:val="ListBullet"/>
        <w:spacing w:after="40"/>
      </w:pPr>
      <w:r>
        <w:t>Reduce load where possible.</w:t>
      </w:r>
    </w:p>
    <w:p>
      <w:pPr>
        <w:pStyle w:val="ListBullet"/>
        <w:spacing w:after="40"/>
      </w:pPr>
      <w:r>
        <w:t>Use supervision/consultation.</w:t>
      </w:r>
    </w:p>
    <w:p>
      <w:pPr>
        <w:pStyle w:val="ListBullet"/>
        <w:spacing w:after="40"/>
      </w:pPr>
      <w:r>
        <w:t>Take planned rest.</w:t>
      </w:r>
    </w:p>
    <w:p>
      <w:pPr>
        <w:pStyle w:val="ListBullet"/>
        <w:spacing w:after="40"/>
      </w:pPr>
      <w:r>
        <w:t>Revisit boundaries and availability.</w:t>
      </w:r>
    </w:p>
    <w:p>
      <w:pPr>
        <w:pStyle w:val="ListBullet"/>
        <w:spacing w:after="40"/>
      </w:pPr>
      <w:r>
        <w:t>Address your own unresolved material rather than spiritualizing depletion.</w:t>
      </w:r>
    </w:p>
    <w:p>
      <w:pPr>
        <w:pStyle w:val="Heading2"/>
      </w:pPr>
      <w:r>
        <w:t>If You Are in Red</w:t>
      </w:r>
    </w:p>
    <w:p>
      <w:pPr>
        <w:pStyle w:val="ListBullet"/>
        <w:spacing w:after="40"/>
      </w:pPr>
      <w:r>
        <w:t>Step back from nonessential care duties.</w:t>
      </w:r>
    </w:p>
    <w:p>
      <w:pPr>
        <w:pStyle w:val="ListBullet"/>
        <w:spacing w:after="40"/>
      </w:pPr>
      <w:r>
        <w:t>Seek professional or medical support when indicated.</w:t>
      </w:r>
    </w:p>
    <w:p>
      <w:pPr>
        <w:pStyle w:val="ListBullet"/>
        <w:spacing w:after="40"/>
      </w:pPr>
      <w:r>
        <w:t>Tell an appropriate supervisor/leader you are not functioning sustainably.</w:t>
      </w:r>
    </w:p>
    <w:p>
      <w:pPr>
        <w:pStyle w:val="ListBullet"/>
        <w:spacing w:after="40"/>
      </w:pPr>
      <w:r>
        <w:t>Do not keep carrying high-risk situations alone.</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Her lamp does not go out at night—not because the night disappears, but because the flame is protected.</w:t>
            </w:r>
          </w:p>
        </w:tc>
      </w:tr>
    </w:tbl>
    <w:p>
      <w:pPr>
        <w:spacing w:after="0"/>
      </w:pPr>
    </w:p>
    <w:p>
      <w:pPr>
        <w:pStyle w:val="Heading2"/>
      </w:pPr>
      <w:r>
        <w:t>Personal Stewardship Worksheet</w:t>
      </w:r>
    </w:p>
    <w:p>
      <w:r>
        <w:rPr>
          <w:b/>
        </w:rPr>
        <w:t>What am I carrying that is actually mine?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have I assumed, inherited, or picked up that may not be mine?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is my current capacity?</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condition is affecting me that others may not see?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does courage require this week?</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Who is allowed to care for me?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Tool 14 — Case Studies for Ministry Training</w:t>
      </w:r>
    </w:p>
    <w:p>
      <w:r>
        <w:rPr>
          <w:i w:val="0"/>
        </w:rPr>
        <w:t>Use these cases in staff meetings, caregiver training, leadership development, or small groups. The goal is not to “get the diagnosis right.” The goal is to practice recognition, role clarity, safety, referral, boundaries, and empowerment.</w:t>
      </w:r>
    </w:p>
    <w:p>
      <w:pPr>
        <w:pStyle w:val="Heading2"/>
      </w:pPr>
      <w:r>
        <w:t>Case 1 — She Comes to the Altar Every Sunday</w:t>
      </w:r>
    </w:p>
    <w:p>
      <w:r>
        <w:rPr>
          <w:i w:val="0"/>
        </w:rPr>
        <w:t>For three months, a woman has requested prayer about her marriage. In a private conversation she describes her partner monitoring her phone, controlling money, threatening to take the children, and becoming frightening when she disagrees. She asks the ministry leader to call her husband and “tell him to stop.”</w:t>
      </w:r>
    </w:p>
    <w:p>
      <w:pPr>
        <w:pStyle w:val="Heading3"/>
      </w:pPr>
      <w:r>
        <w:t>What to Notice</w:t>
      </w:r>
    </w:p>
    <w:p>
      <w:pPr>
        <w:pStyle w:val="ListBullet"/>
        <w:spacing w:after="40"/>
      </w:pPr>
      <w:r>
        <w:t>This may involve coercive control and safety concerns, not ordinary couple conflict.</w:t>
      </w:r>
    </w:p>
    <w:p>
      <w:pPr>
        <w:pStyle w:val="ListBullet"/>
        <w:spacing w:after="40"/>
      </w:pPr>
      <w:r>
        <w:t>A confrontation by the ministry leader could increase risk.</w:t>
      </w:r>
    </w:p>
    <w:p>
      <w:pPr>
        <w:pStyle w:val="ListBullet"/>
        <w:spacing w:after="40"/>
      </w:pPr>
      <w:r>
        <w:t>Children may introduce safeguarding/reporting considerations depending on what is disclosed.</w:t>
      </w:r>
    </w:p>
    <w:p>
      <w:pPr>
        <w:pStyle w:val="Heading3"/>
      </w:pPr>
      <w:r>
        <w:t>RISE Response</w:t>
      </w:r>
    </w:p>
    <w:p>
      <w:pPr>
        <w:pStyle w:val="ListBullet"/>
        <w:spacing w:after="40"/>
      </w:pPr>
      <w:r>
        <w:t>Recognize safety and control patterns.</w:t>
      </w:r>
    </w:p>
    <w:p>
      <w:pPr>
        <w:pStyle w:val="ListBullet"/>
        <w:spacing w:after="40"/>
      </w:pPr>
      <w:r>
        <w:t>Intervene by listening, assessing immediate danger, and connecting her to specialized abuse/safety resources.</w:t>
      </w:r>
    </w:p>
    <w:p>
      <w:pPr>
        <w:pStyle w:val="ListBullet"/>
        <w:spacing w:after="40"/>
      </w:pPr>
      <w:r>
        <w:t>Steward privacy carefully and follow local safeguarding law/policy.</w:t>
      </w:r>
    </w:p>
    <w:p>
      <w:pPr>
        <w:pStyle w:val="ListBullet"/>
        <w:spacing w:after="40"/>
      </w:pPr>
      <w:r>
        <w:t>Empower her choices rather than directing an unsafe confrontation.</w:t>
      </w:r>
    </w:p>
    <w:p>
      <w:pPr>
        <w:pStyle w:val="Heading3"/>
      </w:pPr>
      <w:r>
        <w:t>Do Not</w:t>
      </w:r>
    </w:p>
    <w:p>
      <w:pPr>
        <w:pStyle w:val="ListBullet"/>
        <w:spacing w:after="40"/>
      </w:pPr>
      <w:r>
        <w:t>Do not promise to “fix the marriage.”</w:t>
      </w:r>
    </w:p>
    <w:p>
      <w:pPr>
        <w:pStyle w:val="ListBullet"/>
        <w:spacing w:after="40"/>
      </w:pPr>
      <w:r>
        <w:t>Do not call the partner without careful safety consideration and consent.</w:t>
      </w:r>
    </w:p>
    <w:p>
      <w:pPr>
        <w:pStyle w:val="ListBullet"/>
        <w:spacing w:after="40"/>
      </w:pPr>
      <w:r>
        <w:t>Do not pressure immediate reconciliation or joint counseling.</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“What you’re describing sounds like more than a communication problem. I want to take your safety seriously. I do not want to do anything that increases risk. Let’s talk about what feels safest right now and connect you with specialized support.”</w:t>
            </w:r>
          </w:p>
        </w:tc>
      </w:tr>
    </w:tbl>
    <w:p>
      <w:pPr>
        <w:spacing w:after="0"/>
      </w:pPr>
    </w:p>
    <w:p>
      <w:pPr>
        <w:pStyle w:val="Heading2"/>
      </w:pPr>
      <w:r>
        <w:t>Case 2 — The Strong Pastor</w:t>
      </w:r>
    </w:p>
    <w:p>
      <w:r>
        <w:rPr>
          <w:i w:val="0"/>
        </w:rPr>
        <w:t>A pastor continues preaching and counseling others but is sleeping three to four hours a night, increasingly irritable, emotionally detached from family, and unable to stop thinking about members’ crises. He says, “Everybody needs me. I don’t have time to fall apart.”</w:t>
      </w:r>
    </w:p>
    <w:p>
      <w:pPr>
        <w:pStyle w:val="Heading3"/>
      </w:pPr>
      <w:r>
        <w:t>What to Notice</w:t>
      </w:r>
    </w:p>
    <w:p>
      <w:pPr>
        <w:pStyle w:val="ListBullet"/>
        <w:spacing w:after="40"/>
      </w:pPr>
      <w:r>
        <w:t>High functioning does not equal healthy functioning.</w:t>
      </w:r>
    </w:p>
    <w:p>
      <w:pPr>
        <w:pStyle w:val="ListBullet"/>
        <w:spacing w:after="40"/>
      </w:pPr>
      <w:r>
        <w:t>Sleep, irritability, detachment, and inability to disengage suggest significant overload.</w:t>
      </w:r>
    </w:p>
    <w:p>
      <w:pPr>
        <w:pStyle w:val="ListBullet"/>
        <w:spacing w:after="40"/>
      </w:pPr>
      <w:r>
        <w:t>His role may make it difficult for others to challenge his limits.</w:t>
      </w:r>
    </w:p>
    <w:p>
      <w:pPr>
        <w:pStyle w:val="Heading3"/>
      </w:pPr>
      <w:r>
        <w:t>RISE Response</w:t>
      </w:r>
    </w:p>
    <w:p>
      <w:pPr>
        <w:pStyle w:val="ListBullet"/>
        <w:spacing w:after="40"/>
      </w:pPr>
      <w:r>
        <w:t>Use the 3C Check.</w:t>
      </w:r>
    </w:p>
    <w:p>
      <w:pPr>
        <w:pStyle w:val="ListBullet"/>
        <w:spacing w:after="40"/>
      </w:pPr>
      <w:r>
        <w:t>Reduce nonessential care load.</w:t>
      </w:r>
    </w:p>
    <w:p>
      <w:pPr>
        <w:pStyle w:val="ListBullet"/>
        <w:spacing w:after="40"/>
      </w:pPr>
      <w:r>
        <w:t>Create consultation and coverage.</w:t>
      </w:r>
    </w:p>
    <w:p>
      <w:pPr>
        <w:pStyle w:val="ListBullet"/>
        <w:spacing w:after="40"/>
      </w:pPr>
      <w:r>
        <w:t>Encourage medical/mental-health evaluation if symptoms are significant or persistent.</w:t>
      </w:r>
    </w:p>
    <w:p>
      <w:pPr>
        <w:pStyle w:val="ListBullet"/>
        <w:spacing w:after="40"/>
      </w:pPr>
      <w:r>
        <w:t>Build a care plan for the caregiver.</w:t>
      </w:r>
    </w:p>
    <w:p>
      <w:pPr>
        <w:pStyle w:val="Heading3"/>
      </w:pPr>
      <w:r>
        <w:t>Do Not</w:t>
      </w:r>
    </w:p>
    <w:p>
      <w:pPr>
        <w:pStyle w:val="ListBullet"/>
        <w:spacing w:after="40"/>
      </w:pPr>
      <w:r>
        <w:t>Do not praise burnout as sacrifice.</w:t>
      </w:r>
    </w:p>
    <w:p>
      <w:pPr>
        <w:pStyle w:val="ListBullet"/>
        <w:spacing w:after="40"/>
      </w:pPr>
      <w:r>
        <w:t>Do not make his family absorb the cost of the church’s lack of systems.</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“Your ability to keep preaching does not tell me whether you are okay. Your body and relationships are telling us something. What would it look like to protect the lamp before it goes out?”</w:t>
            </w:r>
          </w:p>
        </w:tc>
      </w:tr>
    </w:tbl>
    <w:p>
      <w:pPr>
        <w:spacing w:after="0"/>
      </w:pPr>
    </w:p>
    <w:p>
      <w:pPr>
        <w:pStyle w:val="Heading2"/>
      </w:pPr>
      <w:r>
        <w:t>Case 3 — “Don’t Tell Anybody”</w:t>
      </w:r>
    </w:p>
    <w:p>
      <w:r>
        <w:rPr>
          <w:i w:val="0"/>
        </w:rPr>
        <w:t>A teenager tells a youth leader, “Sometimes I wish I could disappear. Promise you won’t tell anyone.” The youth leader wants to preserve trust and fears the teen will never speak again if adults are involved.</w:t>
      </w:r>
    </w:p>
    <w:p>
      <w:pPr>
        <w:pStyle w:val="Heading3"/>
      </w:pPr>
      <w:r>
        <w:t>What to Notice</w:t>
      </w:r>
    </w:p>
    <w:p>
      <w:pPr>
        <w:pStyle w:val="ListBullet"/>
        <w:spacing w:after="40"/>
      </w:pPr>
      <w:r>
        <w:t>A request for secrecy cannot override safety.</w:t>
      </w:r>
    </w:p>
    <w:p>
      <w:pPr>
        <w:pStyle w:val="ListBullet"/>
        <w:spacing w:after="40"/>
      </w:pPr>
      <w:r>
        <w:t>The statement requires calm clarification about suicide/self-harm.</w:t>
      </w:r>
    </w:p>
    <w:p>
      <w:pPr>
        <w:pStyle w:val="ListBullet"/>
        <w:spacing w:after="40"/>
      </w:pPr>
      <w:r>
        <w:t>Minors also involve safeguarding policy and legal obligations.</w:t>
      </w:r>
    </w:p>
    <w:p>
      <w:pPr>
        <w:pStyle w:val="Heading3"/>
      </w:pPr>
      <w:r>
        <w:t>RISE Response</w:t>
      </w:r>
    </w:p>
    <w:p>
      <w:pPr>
        <w:pStyle w:val="ListBullet"/>
        <w:spacing w:after="40"/>
      </w:pPr>
      <w:r>
        <w:t>Ask directly about suicide/self-harm.</w:t>
      </w:r>
    </w:p>
    <w:p>
      <w:pPr>
        <w:pStyle w:val="ListBullet"/>
        <w:spacing w:after="40"/>
      </w:pPr>
      <w:r>
        <w:t>Follow church youth-safety policy.</w:t>
      </w:r>
    </w:p>
    <w:p>
      <w:pPr>
        <w:pStyle w:val="ListBullet"/>
        <w:spacing w:after="40"/>
      </w:pPr>
      <w:r>
        <w:t>Involve appropriate crisis/guardian/safeguarding resources as required.</w:t>
      </w:r>
    </w:p>
    <w:p>
      <w:pPr>
        <w:pStyle w:val="ListBullet"/>
        <w:spacing w:after="40"/>
      </w:pPr>
      <w:r>
        <w:t>Explain each step as transparently as safety allows.</w:t>
      </w:r>
    </w:p>
    <w:p>
      <w:pPr>
        <w:pStyle w:val="Heading3"/>
      </w:pPr>
      <w:r>
        <w:t>Do Not</w:t>
      </w:r>
    </w:p>
    <w:p>
      <w:pPr>
        <w:pStyle w:val="ListBullet"/>
        <w:spacing w:after="40"/>
      </w:pPr>
      <w:r>
        <w:t>Do not promise secrecy.</w:t>
      </w:r>
    </w:p>
    <w:p>
      <w:pPr>
        <w:pStyle w:val="ListBullet"/>
        <w:spacing w:after="40"/>
      </w:pPr>
      <w:r>
        <w:t>Do not interrogate.</w:t>
      </w:r>
    </w:p>
    <w:p>
      <w:pPr>
        <w:pStyle w:val="ListBullet"/>
        <w:spacing w:after="40"/>
      </w:pPr>
      <w:r>
        <w:t>Do not leave the youth unsupported while debating policy.</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“I’m really glad you told me. I care too much about you to keep a safety concern secret. I’m going to stay with you while we get the right help, and I’ll explain what I’m doing.”</w:t>
            </w:r>
          </w:p>
        </w:tc>
      </w:tr>
    </w:tbl>
    <w:p>
      <w:pPr>
        <w:spacing w:after="0"/>
      </w:pPr>
    </w:p>
    <w:p>
      <w:pPr>
        <w:pStyle w:val="Heading2"/>
      </w:pPr>
      <w:r>
        <w:t>Case 4 — Grief at Christmas</w:t>
      </w:r>
    </w:p>
    <w:p>
      <w:r>
        <w:rPr>
          <w:i w:val="0"/>
        </w:rPr>
        <w:t>A widower stops attending holiday events after his spouse’s death. Family members say he is “isolating” and ask the pastor to convince him to come to the church Christmas dinner. He says the music and traditions are unbearable this year.</w:t>
      </w:r>
    </w:p>
    <w:p>
      <w:pPr>
        <w:pStyle w:val="Heading3"/>
      </w:pPr>
      <w:r>
        <w:t>What to Notice</w:t>
      </w:r>
    </w:p>
    <w:p>
      <w:pPr>
        <w:pStyle w:val="ListBullet"/>
        <w:spacing w:after="40"/>
      </w:pPr>
      <w:r>
        <w:t>Withdrawal can be a grief response; context matters.</w:t>
      </w:r>
    </w:p>
    <w:p>
      <w:pPr>
        <w:pStyle w:val="ListBullet"/>
        <w:spacing w:after="40"/>
      </w:pPr>
      <w:r>
        <w:t>The goal is not to force normal participation.</w:t>
      </w:r>
    </w:p>
    <w:p>
      <w:pPr>
        <w:pStyle w:val="ListBullet"/>
        <w:spacing w:after="40"/>
      </w:pPr>
      <w:r>
        <w:t>Assess functioning and safety without pathologizing grief.</w:t>
      </w:r>
    </w:p>
    <w:p>
      <w:pPr>
        <w:pStyle w:val="Heading3"/>
      </w:pPr>
      <w:r>
        <w:t>RISE Response</w:t>
      </w:r>
    </w:p>
    <w:p>
      <w:pPr>
        <w:pStyle w:val="ListBullet"/>
        <w:spacing w:after="40"/>
      </w:pPr>
      <w:r>
        <w:t>Ask what support feels helpful.</w:t>
      </w:r>
    </w:p>
    <w:p>
      <w:pPr>
        <w:pStyle w:val="ListBullet"/>
        <w:spacing w:after="40"/>
      </w:pPr>
      <w:r>
        <w:t>Offer flexible connection and practical care.</w:t>
      </w:r>
    </w:p>
    <w:p>
      <w:pPr>
        <w:pStyle w:val="ListBullet"/>
        <w:spacing w:after="40"/>
      </w:pPr>
      <w:r>
        <w:t>Normalize changing traditions.</w:t>
      </w:r>
    </w:p>
    <w:p>
      <w:pPr>
        <w:pStyle w:val="ListBullet"/>
        <w:spacing w:after="40"/>
      </w:pPr>
      <w:r>
        <w:t>Refer if grief is causing severe/prolonged impairment or safety concerns.</w:t>
      </w:r>
    </w:p>
    <w:p>
      <w:pPr>
        <w:pStyle w:val="Heading3"/>
      </w:pPr>
      <w:r>
        <w:t>Do Not</w:t>
      </w:r>
    </w:p>
    <w:p>
      <w:pPr>
        <w:pStyle w:val="ListBullet"/>
        <w:spacing w:after="40"/>
      </w:pPr>
      <w:r>
        <w:t>Do not use attendance as proof of healing.</w:t>
      </w:r>
    </w:p>
    <w:p>
      <w:pPr>
        <w:pStyle w:val="ListBullet"/>
        <w:spacing w:after="40"/>
      </w:pPr>
      <w:r>
        <w:t>Do not guilt him with what others need from him.</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“You do not have to make this Christmas look like the old ones. Would it feel better to skip the dinner, come for only part of it, or have someone visit you another day?”</w:t>
            </w:r>
          </w:p>
        </w:tc>
      </w:tr>
    </w:tbl>
    <w:p>
      <w:pPr>
        <w:spacing w:after="0"/>
      </w:pPr>
    </w:p>
    <w:p>
      <w:pPr>
        <w:pStyle w:val="Heading2"/>
      </w:pPr>
      <w:r>
        <w:t>Case 5 — The Adult Child Who Calls Every Night</w:t>
      </w:r>
    </w:p>
    <w:p>
      <w:r>
        <w:rPr>
          <w:i w:val="0"/>
        </w:rPr>
        <w:t>A mother receives nightly crisis calls from her adult daughter. The daughter refuses therapy, expects her mother to leave work whenever she is upset, and becomes angry when her mother does not answer immediately. The mother is exhausted and afraid that boundaries mean abandonment.</w:t>
      </w:r>
    </w:p>
    <w:p>
      <w:pPr>
        <w:pStyle w:val="Heading3"/>
      </w:pPr>
      <w:r>
        <w:t>What to Notice</w:t>
      </w:r>
    </w:p>
    <w:p>
      <w:pPr>
        <w:pStyle w:val="ListBullet"/>
        <w:spacing w:after="40"/>
      </w:pPr>
      <w:r>
        <w:t>Care has become concentrated in one relationship.</w:t>
      </w:r>
    </w:p>
    <w:p>
      <w:pPr>
        <w:pStyle w:val="ListBullet"/>
        <w:spacing w:after="40"/>
      </w:pPr>
      <w:r>
        <w:t>The mother’s fear and guilt may be driving overfunctioning.</w:t>
      </w:r>
    </w:p>
    <w:p>
      <w:pPr>
        <w:pStyle w:val="ListBullet"/>
        <w:spacing w:after="40"/>
      </w:pPr>
      <w:r>
        <w:t>The daughter’s distress is real, but the mother cannot be the entire care system.</w:t>
      </w:r>
    </w:p>
    <w:p>
      <w:pPr>
        <w:pStyle w:val="Heading3"/>
      </w:pPr>
      <w:r>
        <w:t>RISE Response</w:t>
      </w:r>
    </w:p>
    <w:p>
      <w:pPr>
        <w:pStyle w:val="ListBullet"/>
        <w:spacing w:after="40"/>
      </w:pPr>
      <w:r>
        <w:t>Use Capacity, Condition, Courage, and Capacity (theirs).</w:t>
      </w:r>
    </w:p>
    <w:p>
      <w:pPr>
        <w:pStyle w:val="ListBullet"/>
        <w:spacing w:after="40"/>
      </w:pPr>
      <w:r>
        <w:t>Set availability boundaries.</w:t>
      </w:r>
    </w:p>
    <w:p>
      <w:pPr>
        <w:pStyle w:val="ListBullet"/>
        <w:spacing w:after="40"/>
      </w:pPr>
      <w:r>
        <w:t>Create a crisis/resource plan.</w:t>
      </w:r>
    </w:p>
    <w:p>
      <w:pPr>
        <w:pStyle w:val="ListBullet"/>
        <w:spacing w:after="40"/>
      </w:pPr>
      <w:r>
        <w:t>Encourage diversified support and professional care.</w:t>
      </w:r>
    </w:p>
    <w:p>
      <w:pPr>
        <w:pStyle w:val="Heading3"/>
      </w:pPr>
      <w:r>
        <w:t>Do Not</w:t>
      </w:r>
    </w:p>
    <w:p>
      <w:pPr>
        <w:pStyle w:val="ListBullet"/>
        <w:spacing w:after="40"/>
      </w:pPr>
      <w:r>
        <w:t>Do not equate unlimited access with love.</w:t>
      </w:r>
    </w:p>
    <w:p>
      <w:pPr>
        <w:pStyle w:val="ListBullet"/>
        <w:spacing w:after="40"/>
      </w:pPr>
      <w:r>
        <w:t>Do not threaten abandonment to force treatment.</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“I love you. I cannot be available every hour, and I do not want you to have only me when you are struggling. Let’s make a plan for who you can contact and what you can do when I’m unavailable.”</w:t>
            </w:r>
          </w:p>
        </w:tc>
      </w:tr>
    </w:tbl>
    <w:p>
      <w:pPr>
        <w:spacing w:after="0"/>
      </w:pPr>
    </w:p>
    <w:p>
      <w:pPr>
        <w:pStyle w:val="Heading2"/>
      </w:pPr>
      <w:r>
        <w:t>Case 6 — “I Don’t Want to Be Here Anymore”</w:t>
      </w:r>
    </w:p>
    <w:p>
      <w:r>
        <w:rPr>
          <w:i w:val="0"/>
        </w:rPr>
        <w:t>After a service, a member says quietly, “I’m tired. I don’t want to be here anymore.” The minister is unsure whether the person means church, the situation, or life.</w:t>
      </w:r>
    </w:p>
    <w:p>
      <w:pPr>
        <w:pStyle w:val="Heading3"/>
      </w:pPr>
      <w:r>
        <w:t>What to Notice</w:t>
      </w:r>
    </w:p>
    <w:p>
      <w:pPr>
        <w:pStyle w:val="ListBullet"/>
        <w:spacing w:after="40"/>
      </w:pPr>
      <w:r>
        <w:t>Ambiguous hopeless statements should be clarified, not assumed.</w:t>
      </w:r>
    </w:p>
    <w:p>
      <w:pPr>
        <w:pStyle w:val="ListBullet"/>
        <w:spacing w:after="40"/>
      </w:pPr>
      <w:r>
        <w:t>Direct suicide questions are appropriate when concern exists.</w:t>
      </w:r>
    </w:p>
    <w:p>
      <w:pPr>
        <w:pStyle w:val="Heading3"/>
      </w:pPr>
      <w:r>
        <w:t>RISE Response</w:t>
      </w:r>
    </w:p>
    <w:p>
      <w:pPr>
        <w:pStyle w:val="ListBullet"/>
        <w:spacing w:after="40"/>
      </w:pPr>
      <w:r>
        <w:t>Ask directly: “Are you thinking about suicide?”</w:t>
      </w:r>
    </w:p>
    <w:p>
      <w:pPr>
        <w:pStyle w:val="ListBullet"/>
        <w:spacing w:after="40"/>
      </w:pPr>
      <w:r>
        <w:t>If yes, stay present, connect to 988, and escalate to 911/local emergency services if imminent life-threatening danger is present.</w:t>
      </w:r>
    </w:p>
    <w:p>
      <w:pPr>
        <w:pStyle w:val="ListBullet"/>
        <w:spacing w:after="40"/>
      </w:pPr>
      <w:r>
        <w:t>Follow up after the crisis connection.</w:t>
      </w:r>
    </w:p>
    <w:p>
      <w:pPr>
        <w:pStyle w:val="Heading3"/>
      </w:pPr>
      <w:r>
        <w:t>Do Not</w:t>
      </w:r>
    </w:p>
    <w:p>
      <w:pPr>
        <w:pStyle w:val="ListBullet"/>
        <w:spacing w:after="40"/>
      </w:pPr>
      <w:r>
        <w:t>Do not replace a safety question with “You don’t mean that.”</w:t>
      </w:r>
    </w:p>
    <w:p>
      <w:pPr>
        <w:pStyle w:val="ListBullet"/>
        <w:spacing w:after="40"/>
      </w:pPr>
      <w:r>
        <w:t>Do not promise secrecy.</w:t>
      </w:r>
    </w:p>
    <w:p>
      <w:pPr>
        <w:pStyle w:val="ListBullet"/>
        <w:spacing w:after="40"/>
      </w:pPr>
      <w:r>
        <w:t>Do not send the person home alone if imminent risk is present and staying is safe.</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“When you say you don’t want to be here anymore, I want to make sure I understand. Are you thinking about suicide?”</w:t>
            </w:r>
          </w:p>
        </w:tc>
      </w:tr>
    </w:tbl>
    <w:p>
      <w:pPr>
        <w:spacing w:after="0"/>
      </w:pPr>
    </w:p>
    <w:p>
      <w:pPr>
        <w:pStyle w:val="Heading2"/>
      </w:pPr>
      <w:r>
        <w:t>Case 7 — The Couple Who “Just Needs Communication”</w:t>
      </w:r>
    </w:p>
    <w:p>
      <w:r>
        <w:rPr>
          <w:i w:val="0"/>
        </w:rPr>
        <w:t>A couple requests pastoral counseling for constant conflict. In separate conversation, one partner discloses fear, threats, forced sexual contact, and retaliation after disagreements.</w:t>
      </w:r>
    </w:p>
    <w:p>
      <w:pPr>
        <w:pStyle w:val="Heading3"/>
      </w:pPr>
      <w:r>
        <w:t>What to Notice</w:t>
      </w:r>
    </w:p>
    <w:p>
      <w:pPr>
        <w:pStyle w:val="ListBullet"/>
        <w:spacing w:after="40"/>
      </w:pPr>
      <w:r>
        <w:t>This is not simply a communication-skills case.</w:t>
      </w:r>
    </w:p>
    <w:p>
      <w:pPr>
        <w:pStyle w:val="ListBullet"/>
        <w:spacing w:after="40"/>
      </w:pPr>
      <w:r>
        <w:t>Joint sessions may create added danger if disclosures are later punished.</w:t>
      </w:r>
    </w:p>
    <w:p>
      <w:pPr>
        <w:pStyle w:val="ListBullet"/>
        <w:spacing w:after="40"/>
      </w:pPr>
      <w:r>
        <w:t>Specialized safety planning is needed.</w:t>
      </w:r>
    </w:p>
    <w:p>
      <w:pPr>
        <w:pStyle w:val="Heading3"/>
      </w:pPr>
      <w:r>
        <w:t>RISE Response</w:t>
      </w:r>
    </w:p>
    <w:p>
      <w:pPr>
        <w:pStyle w:val="ListBullet"/>
        <w:spacing w:after="40"/>
      </w:pPr>
      <w:r>
        <w:t>Prioritize safety.</w:t>
      </w:r>
    </w:p>
    <w:p>
      <w:pPr>
        <w:pStyle w:val="ListBullet"/>
        <w:spacing w:after="40"/>
      </w:pPr>
      <w:r>
        <w:t>Use specialized domestic-violence resources.</w:t>
      </w:r>
    </w:p>
    <w:p>
      <w:pPr>
        <w:pStyle w:val="ListBullet"/>
        <w:spacing w:after="40"/>
      </w:pPr>
      <w:r>
        <w:t>Follow reporting/safeguarding duties where applicable.</w:t>
      </w:r>
    </w:p>
    <w:p>
      <w:pPr>
        <w:pStyle w:val="ListBullet"/>
        <w:spacing w:after="40"/>
      </w:pPr>
      <w:r>
        <w:t>Keep spiritual support separate from pressure to reconcile.</w:t>
      </w:r>
    </w:p>
    <w:p>
      <w:pPr>
        <w:pStyle w:val="Heading3"/>
      </w:pPr>
      <w:r>
        <w:t>Do Not</w:t>
      </w:r>
    </w:p>
    <w:p>
      <w:pPr>
        <w:pStyle w:val="ListBullet"/>
        <w:spacing w:after="40"/>
      </w:pPr>
      <w:r>
        <w:t>Do not frame abuse as equal responsibility.</w:t>
      </w:r>
    </w:p>
    <w:p>
      <w:pPr>
        <w:pStyle w:val="ListBullet"/>
        <w:spacing w:after="40"/>
      </w:pPr>
      <w:r>
        <w:t>Do not require joint disclosure or apology as a first step.</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“I’m not going to treat fear and coercion as a mutual communication problem. Your safety matters. Let’s connect you with support that specializes in this.”</w:t>
            </w:r>
          </w:p>
        </w:tc>
      </w:tr>
    </w:tbl>
    <w:p>
      <w:pPr>
        <w:spacing w:after="0"/>
      </w:pPr>
    </w:p>
    <w:p>
      <w:pPr>
        <w:pStyle w:val="Heading2"/>
      </w:pPr>
      <w:r>
        <w:t>Case 8 — The Ministry Rescuer</w:t>
      </w:r>
    </w:p>
    <w:p>
      <w:r>
        <w:rPr>
          <w:i w:val="0"/>
        </w:rPr>
        <w:t>A lay caregiver is beloved because she “always shows up.” She drives members to appointments, pays bills, mediates family disputes, answers calls overnight, and often completes tasks people could do themselves. She is resentful but says, “If I don’t do it, nobody will.”</w:t>
      </w:r>
    </w:p>
    <w:p>
      <w:pPr>
        <w:pStyle w:val="Heading3"/>
      </w:pPr>
      <w:r>
        <w:t>What to Notice</w:t>
      </w:r>
    </w:p>
    <w:p>
      <w:pPr>
        <w:pStyle w:val="ListBullet"/>
        <w:spacing w:after="40"/>
      </w:pPr>
      <w:r>
        <w:t>Her care may be replacing others’ responsibility.</w:t>
      </w:r>
    </w:p>
    <w:p>
      <w:pPr>
        <w:pStyle w:val="ListBullet"/>
        <w:spacing w:after="40"/>
      </w:pPr>
      <w:r>
        <w:t>Resentment and exhaustion signal a capacity problem.</w:t>
      </w:r>
    </w:p>
    <w:p>
      <w:pPr>
        <w:pStyle w:val="ListBullet"/>
        <w:spacing w:after="40"/>
      </w:pPr>
      <w:r>
        <w:t>Being needed may have become part of her condition.</w:t>
      </w:r>
    </w:p>
    <w:p>
      <w:pPr>
        <w:pStyle w:val="Heading3"/>
      </w:pPr>
      <w:r>
        <w:t>RISE Response</w:t>
      </w:r>
    </w:p>
    <w:p>
      <w:pPr>
        <w:pStyle w:val="ListBullet"/>
        <w:spacing w:after="40"/>
      </w:pPr>
      <w:r>
        <w:t>Use the full 3C Check.</w:t>
      </w:r>
    </w:p>
    <w:p>
      <w:pPr>
        <w:pStyle w:val="ListBullet"/>
        <w:spacing w:after="40"/>
      </w:pPr>
      <w:r>
        <w:t>Move from doing-for to supporting-with.</w:t>
      </w:r>
    </w:p>
    <w:p>
      <w:pPr>
        <w:pStyle w:val="ListBullet"/>
        <w:spacing w:after="40"/>
      </w:pPr>
      <w:r>
        <w:t>Set a ministry availability structure.</w:t>
      </w:r>
    </w:p>
    <w:p>
      <w:pPr>
        <w:pStyle w:val="ListBullet"/>
        <w:spacing w:after="40"/>
      </w:pPr>
      <w:r>
        <w:t>Create team-based care so one person is not the system.</w:t>
      </w:r>
    </w:p>
    <w:p>
      <w:pPr>
        <w:pStyle w:val="Heading3"/>
      </w:pPr>
      <w:r>
        <w:t>Do Not</w:t>
      </w:r>
    </w:p>
    <w:p>
      <w:pPr>
        <w:pStyle w:val="ListBullet"/>
        <w:spacing w:after="40"/>
      </w:pPr>
      <w:r>
        <w:t>Do not shame her generosity.</w:t>
      </w:r>
    </w:p>
    <w:p>
      <w:pPr>
        <w:pStyle w:val="ListBullet"/>
        <w:spacing w:after="40"/>
      </w:pPr>
      <w:r>
        <w:t>Do not keep rewarding unsustainable availability.</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“Your compassion is real. Now we need to steward it. Which parts are truly yours to carry, and which parts have become yours only because you kept picking them up?”</w:t>
            </w:r>
          </w:p>
        </w:tc>
      </w:tr>
    </w:tbl>
    <w:p>
      <w:pPr>
        <w:spacing w:after="0"/>
      </w:pPr>
    </w:p>
    <w:p>
      <w:pPr>
        <w:pStyle w:val="Heading2"/>
      </w:pPr>
      <w:r>
        <w:t>Case 9 — Substance Use and Repeated Crisis</w:t>
      </w:r>
    </w:p>
    <w:p>
      <w:r>
        <w:rPr>
          <w:i w:val="0"/>
        </w:rPr>
        <w:t>A member repeatedly arrives intoxicated at family events, misses work, and has had several near-accidents. Relatives ask the pastor to “talk sense into him.” He says he can stop whenever he wants.</w:t>
      </w:r>
    </w:p>
    <w:p>
      <w:pPr>
        <w:pStyle w:val="Heading3"/>
      </w:pPr>
      <w:r>
        <w:t>What to Notice</w:t>
      </w:r>
    </w:p>
    <w:p>
      <w:pPr>
        <w:pStyle w:val="ListBullet"/>
        <w:spacing w:after="40"/>
      </w:pPr>
      <w:r>
        <w:t>Repeated impairment and safety consequences warrant more than a motivational talk.</w:t>
      </w:r>
    </w:p>
    <w:p>
      <w:pPr>
        <w:pStyle w:val="ListBullet"/>
        <w:spacing w:after="40"/>
      </w:pPr>
      <w:r>
        <w:t>Substance use may require specialized assessment/treatment.</w:t>
      </w:r>
    </w:p>
    <w:p>
      <w:pPr>
        <w:pStyle w:val="ListBullet"/>
        <w:spacing w:after="40"/>
      </w:pPr>
      <w:r>
        <w:t>Driving or overdose risk can create immediate safety concerns.</w:t>
      </w:r>
    </w:p>
    <w:p>
      <w:pPr>
        <w:pStyle w:val="Heading3"/>
      </w:pPr>
      <w:r>
        <w:t>RISE Response</w:t>
      </w:r>
    </w:p>
    <w:p>
      <w:pPr>
        <w:pStyle w:val="ListBullet"/>
        <w:spacing w:after="40"/>
      </w:pPr>
      <w:r>
        <w:t>Name observable impact without arguing labels.</w:t>
      </w:r>
    </w:p>
    <w:p>
      <w:pPr>
        <w:pStyle w:val="ListBullet"/>
        <w:spacing w:after="40"/>
      </w:pPr>
      <w:r>
        <w:t>Encourage specialized substance-use treatment assessment.</w:t>
      </w:r>
    </w:p>
    <w:p>
      <w:pPr>
        <w:pStyle w:val="ListBullet"/>
        <w:spacing w:after="40"/>
      </w:pPr>
      <w:r>
        <w:t>Set boundaries around unsafe behavior.</w:t>
      </w:r>
    </w:p>
    <w:p>
      <w:pPr>
        <w:pStyle w:val="ListBullet"/>
        <w:spacing w:after="40"/>
      </w:pPr>
      <w:r>
        <w:t>Use crisis/emergency services when immediate danger is present.</w:t>
      </w:r>
    </w:p>
    <w:p>
      <w:pPr>
        <w:pStyle w:val="Heading3"/>
      </w:pPr>
      <w:r>
        <w:t>Do Not</w:t>
      </w:r>
    </w:p>
    <w:p>
      <w:pPr>
        <w:pStyle w:val="ListBullet"/>
        <w:spacing w:after="40"/>
      </w:pPr>
      <w:r>
        <w:t>Do not cover up consequences.</w:t>
      </w:r>
    </w:p>
    <w:p>
      <w:pPr>
        <w:pStyle w:val="ListBullet"/>
        <w:spacing w:after="40"/>
      </w:pPr>
      <w:r>
        <w:t>Do not debate whether he is “an addict” as the condition for referral.</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“I’m less concerned with the label than with what alcohol is doing to your safety, work, and relationships. This deserves specialized support. I can help you find an assessment.”</w:t>
            </w:r>
          </w:p>
        </w:tc>
      </w:tr>
    </w:tbl>
    <w:p>
      <w:pPr>
        <w:spacing w:after="0"/>
      </w:pPr>
    </w:p>
    <w:p>
      <w:pPr>
        <w:pStyle w:val="Heading2"/>
      </w:pPr>
      <w:r>
        <w:t>Case 10 — After the Referral</w:t>
      </w:r>
    </w:p>
    <w:p>
      <w:r>
        <w:rPr>
          <w:i w:val="0"/>
        </w:rPr>
        <w:t>A church member begins therapy after a difficult season. The ministry leader worries that checking in will be intrusive, so she stops contacting the member entirely. The member later says, “It felt like the church handed me off.”</w:t>
      </w:r>
    </w:p>
    <w:p>
      <w:pPr>
        <w:pStyle w:val="Heading3"/>
      </w:pPr>
      <w:r>
        <w:t>What to Notice</w:t>
      </w:r>
    </w:p>
    <w:p>
      <w:pPr>
        <w:pStyle w:val="ListBullet"/>
        <w:spacing w:after="40"/>
      </w:pPr>
      <w:r>
        <w:t>Referral can feel like rejection when the relational bridge disappears.</w:t>
      </w:r>
    </w:p>
    <w:p>
      <w:pPr>
        <w:pStyle w:val="ListBullet"/>
        <w:spacing w:after="40"/>
      </w:pPr>
      <w:r>
        <w:t>Pastoral support and professional treatment can coexist.</w:t>
      </w:r>
    </w:p>
    <w:p>
      <w:pPr>
        <w:pStyle w:val="Heading3"/>
      </w:pPr>
      <w:r>
        <w:t>RISE Response</w:t>
      </w:r>
    </w:p>
    <w:p>
      <w:pPr>
        <w:pStyle w:val="ListBullet"/>
        <w:spacing w:after="40"/>
      </w:pPr>
      <w:r>
        <w:t>Follow up without asking for therapy details.</w:t>
      </w:r>
    </w:p>
    <w:p>
      <w:pPr>
        <w:pStyle w:val="ListBullet"/>
        <w:spacing w:after="40"/>
      </w:pPr>
      <w:r>
        <w:t>Continue ordinary belonging, prayer, meals, rides, and community.</w:t>
      </w:r>
    </w:p>
    <w:p>
      <w:pPr>
        <w:pStyle w:val="ListBullet"/>
        <w:spacing w:after="40"/>
      </w:pPr>
      <w:r>
        <w:t>Clarify what support remains available.</w:t>
      </w:r>
    </w:p>
    <w:p>
      <w:pPr>
        <w:pStyle w:val="Heading3"/>
      </w:pPr>
      <w:r>
        <w:t>Do Not</w:t>
      </w:r>
    </w:p>
    <w:p>
      <w:pPr>
        <w:pStyle w:val="ListBullet"/>
        <w:spacing w:after="40"/>
      </w:pPr>
      <w:r>
        <w:t>Do not treat therapy as a reason to withdraw.</w:t>
      </w:r>
    </w:p>
    <w:p>
      <w:pPr>
        <w:pStyle w:val="ListBullet"/>
        <w:spacing w:after="40"/>
      </w:pPr>
      <w:r>
        <w:t>Do not demand confidential clinical information.</w:t>
      </w:r>
    </w:p>
    <w:p>
      <w:pPr>
        <w:pStyle w:val="Heading3"/>
      </w:pPr>
      <w:r>
        <w:t>Sample Language</w:t>
      </w:r>
    </w:p>
    <w:tbl>
      <w:tblPr>
        <w:tblW w:type="auto" w:w="0"/>
        <w:jc w:val="center"/>
        <w:tblLayout w:type="autofit"/>
        <w:tblLook w:firstColumn="1" w:firstRow="1" w:lastColumn="0" w:lastRow="0" w:noHBand="0" w:noVBand="1" w:val="04A0"/>
      </w:tblPr>
      <w:tblGrid>
        <w:gridCol w:w="10166"/>
      </w:tblGrid>
      <w:tr>
        <w:tc>
          <w:tcPr>
            <w:tcW w:type="dxa" w:w="10166"/>
            <w:shd w:fill="F2F2F2"/>
            <w:tcMar>
              <w:top w:w="110" w:type="dxa"/>
              <w:start w:w="140" w:type="dxa"/>
              <w:bottom w:w="110" w:type="dxa"/>
              <w:end w:w="140" w:type="dxa"/>
            </w:tcMar>
          </w:tcPr>
          <w:p>
            <w:r>
              <w:rPr>
                <w:b/>
                <w:color w:val="4D7599"/>
                <w:sz w:val="18"/>
              </w:rPr>
              <w:t>WHAT YOU COULD SAY</w:t>
            </w:r>
          </w:p>
          <w:p>
            <w:r>
              <w:rPr>
                <w:b/>
                <w:sz w:val="22"/>
              </w:rPr>
              <w:t>“You don’t have to tell me what happens in therapy. I just want you to know you still belong here. How can we continue supporting you in ways that are actually helpful?”</w:t>
            </w:r>
          </w:p>
        </w:tc>
      </w:tr>
    </w:tbl>
    <w:p>
      <w:pPr>
        <w:spacing w:after="0"/>
      </w:pPr>
    </w:p>
    <w:p>
      <w:pPr>
        <w:pStyle w:val="Heading1"/>
        <w:pageBreakBefore/>
      </w:pPr>
      <w:r>
        <w:t>Tool 15 — The Beyond the Alter Church Care Blueprint</w:t>
      </w:r>
    </w:p>
    <w:p>
      <w:r>
        <w:rPr>
          <w:i w:val="0"/>
        </w:rPr>
        <w:t>The goal is not for every church to build a clinic. The goal is to build a clear, safe, compassionate care system that knows what it can do, what it cannot do, and who it partners with when more is needed.</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She does not wait until the snow comes to care. She prepares before the frost hits.</w:t>
            </w:r>
          </w:p>
        </w:tc>
      </w:tr>
    </w:tbl>
    <w:p>
      <w:pPr>
        <w:spacing w:after="0"/>
      </w:pPr>
    </w:p>
    <w:p>
      <w:pPr>
        <w:pStyle w:val="Heading2"/>
      </w:pPr>
      <w:r>
        <w:t>1. Define the Care Model</w:t>
      </w:r>
    </w:p>
    <w:p>
      <w:r>
        <w:rPr>
          <w:b/>
        </w:rPr>
        <w:t>What kinds of care does our church provide?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kinds of care do we explicitly not provide?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roles exist: pastor, lay caregiver, care coordinator, safeguarding lead, referral coordinator, prayer team?</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Who supervises or supports each role?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2"/>
      </w:pPr>
      <w:r>
        <w:t>2. Create an Escalation Map</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shd w:fill="6B4FA1"/>
          </w:tcPr>
          <w:p>
            <w:r>
              <w:rPr>
                <w:b/>
                <w:color w:val="FFFFFF"/>
                <w:sz w:val="17"/>
              </w:rPr>
              <w:t>Level</w:t>
            </w:r>
          </w:p>
        </w:tc>
        <w:tc>
          <w:tcPr>
            <w:tcW w:type="dxa" w:w="2541"/>
            <w:shd w:fill="6B4FA1"/>
          </w:tcPr>
          <w:p>
            <w:r>
              <w:rPr>
                <w:b/>
                <w:color w:val="FFFFFF"/>
                <w:sz w:val="17"/>
              </w:rPr>
              <w:t>Example</w:t>
            </w:r>
          </w:p>
        </w:tc>
        <w:tc>
          <w:tcPr>
            <w:tcW w:type="dxa" w:w="2541"/>
            <w:shd w:fill="6B4FA1"/>
          </w:tcPr>
          <w:p>
            <w:r>
              <w:rPr>
                <w:b/>
                <w:color w:val="FFFFFF"/>
                <w:sz w:val="17"/>
              </w:rPr>
              <w:t>Primary Response</w:t>
            </w:r>
          </w:p>
        </w:tc>
        <w:tc>
          <w:tcPr>
            <w:tcW w:type="dxa" w:w="2541"/>
            <w:shd w:fill="6B4FA1"/>
          </w:tcPr>
          <w:p>
            <w:r>
              <w:rPr>
                <w:b/>
                <w:color w:val="FFFFFF"/>
                <w:sz w:val="17"/>
              </w:rPr>
              <w:t>Owner</w:t>
            </w:r>
          </w:p>
        </w:tc>
      </w:tr>
      <w:tr>
        <w:tc>
          <w:tcPr>
            <w:tcW w:type="dxa" w:w="2541"/>
            <w:tcMar>
              <w:top w:w="60" w:type="dxa"/>
              <w:start w:w="65" w:type="dxa"/>
              <w:bottom w:w="60" w:type="dxa"/>
              <w:end w:w="65" w:type="dxa"/>
            </w:tcMar>
          </w:tcPr>
          <w:p>
            <w:pPr>
              <w:spacing w:after="20"/>
            </w:pPr>
            <w:r>
              <w:rPr>
                <w:sz w:val="16"/>
              </w:rPr>
              <w:t>Routine Care</w:t>
            </w:r>
          </w:p>
        </w:tc>
        <w:tc>
          <w:tcPr>
            <w:tcW w:type="dxa" w:w="2541"/>
            <w:tcMar>
              <w:top w:w="60" w:type="dxa"/>
              <w:start w:w="65" w:type="dxa"/>
              <w:bottom w:w="60" w:type="dxa"/>
              <w:end w:w="65" w:type="dxa"/>
            </w:tcMar>
          </w:tcPr>
          <w:p>
            <w:pPr>
              <w:spacing w:after="20"/>
            </w:pPr>
            <w:r>
              <w:rPr>
                <w:sz w:val="16"/>
              </w:rPr>
              <w:t>Grief, stress, life transition, prayer need</w:t>
            </w:r>
          </w:p>
        </w:tc>
        <w:tc>
          <w:tcPr>
            <w:tcW w:type="dxa" w:w="2541"/>
            <w:tcMar>
              <w:top w:w="60" w:type="dxa"/>
              <w:start w:w="65" w:type="dxa"/>
              <w:bottom w:w="60" w:type="dxa"/>
              <w:end w:w="65" w:type="dxa"/>
            </w:tcMar>
          </w:tcPr>
          <w:p>
            <w:pPr>
              <w:spacing w:after="20"/>
            </w:pPr>
            <w:r>
              <w:rPr>
                <w:sz w:val="16"/>
              </w:rPr>
              <w:t>Pastoral/lay support; practical care; follow-up</w:t>
            </w:r>
          </w:p>
        </w:tc>
        <w:tc>
          <w:tcPr>
            <w:tcW w:type="dxa" w:w="2541"/>
            <w:tcMar>
              <w:top w:w="60" w:type="dxa"/>
              <w:start w:w="65" w:type="dxa"/>
              <w:bottom w:w="60" w:type="dxa"/>
              <w:end w:w="65" w:type="dxa"/>
            </w:tcMar>
          </w:tcPr>
          <w:p>
            <w:pPr>
              <w:spacing w:after="20"/>
            </w:pPr>
            <w:r>
              <w:rPr>
                <w:sz w:val="16"/>
              </w:rPr>
              <w:t>Care team</w:t>
            </w:r>
          </w:p>
        </w:tc>
      </w:tr>
      <w:tr>
        <w:tc>
          <w:tcPr>
            <w:tcW w:type="dxa" w:w="2541"/>
            <w:tcMar>
              <w:top w:w="60" w:type="dxa"/>
              <w:start w:w="65" w:type="dxa"/>
              <w:bottom w:w="60" w:type="dxa"/>
              <w:end w:w="65" w:type="dxa"/>
            </w:tcMar>
          </w:tcPr>
          <w:p>
            <w:pPr>
              <w:spacing w:after="20"/>
            </w:pPr>
            <w:r>
              <w:rPr>
                <w:sz w:val="16"/>
              </w:rPr>
              <w:t>Elevated Concern</w:t>
            </w:r>
          </w:p>
        </w:tc>
        <w:tc>
          <w:tcPr>
            <w:tcW w:type="dxa" w:w="2541"/>
            <w:tcMar>
              <w:top w:w="60" w:type="dxa"/>
              <w:start w:w="65" w:type="dxa"/>
              <w:bottom w:w="60" w:type="dxa"/>
              <w:end w:w="65" w:type="dxa"/>
            </w:tcMar>
          </w:tcPr>
          <w:p>
            <w:pPr>
              <w:spacing w:after="20"/>
            </w:pPr>
            <w:r>
              <w:rPr>
                <w:sz w:val="16"/>
              </w:rPr>
              <w:t>Persistent impairment, trauma symptoms, worsening mood, substance-related problems</w:t>
            </w:r>
          </w:p>
        </w:tc>
        <w:tc>
          <w:tcPr>
            <w:tcW w:type="dxa" w:w="2541"/>
            <w:tcMar>
              <w:top w:w="60" w:type="dxa"/>
              <w:start w:w="65" w:type="dxa"/>
              <w:bottom w:w="60" w:type="dxa"/>
              <w:end w:w="65" w:type="dxa"/>
            </w:tcMar>
          </w:tcPr>
          <w:p>
            <w:pPr>
              <w:spacing w:after="20"/>
            </w:pPr>
            <w:r>
              <w:rPr>
                <w:sz w:val="16"/>
              </w:rPr>
              <w:t>Pastoral care + professional referral</w:t>
            </w:r>
          </w:p>
        </w:tc>
        <w:tc>
          <w:tcPr>
            <w:tcW w:type="dxa" w:w="2541"/>
            <w:tcMar>
              <w:top w:w="60" w:type="dxa"/>
              <w:start w:w="65" w:type="dxa"/>
              <w:bottom w:w="60" w:type="dxa"/>
              <w:end w:w="65" w:type="dxa"/>
            </w:tcMar>
          </w:tcPr>
          <w:p>
            <w:pPr>
              <w:spacing w:after="20"/>
            </w:pPr>
            <w:r>
              <w:rPr>
                <w:sz w:val="16"/>
              </w:rPr>
              <w:t>Care lead + referral coordinator</w:t>
            </w:r>
          </w:p>
        </w:tc>
      </w:tr>
      <w:tr>
        <w:tc>
          <w:tcPr>
            <w:tcW w:type="dxa" w:w="2541"/>
            <w:tcMar>
              <w:top w:w="60" w:type="dxa"/>
              <w:start w:w="65" w:type="dxa"/>
              <w:bottom w:w="60" w:type="dxa"/>
              <w:end w:w="65" w:type="dxa"/>
            </w:tcMar>
          </w:tcPr>
          <w:p>
            <w:pPr>
              <w:spacing w:after="20"/>
            </w:pPr>
            <w:r>
              <w:rPr>
                <w:sz w:val="16"/>
              </w:rPr>
              <w:t>Crisis</w:t>
            </w:r>
          </w:p>
        </w:tc>
        <w:tc>
          <w:tcPr>
            <w:tcW w:type="dxa" w:w="2541"/>
            <w:tcMar>
              <w:top w:w="60" w:type="dxa"/>
              <w:start w:w="65" w:type="dxa"/>
              <w:bottom w:w="60" w:type="dxa"/>
              <w:end w:w="65" w:type="dxa"/>
            </w:tcMar>
          </w:tcPr>
          <w:p>
            <w:pPr>
              <w:spacing w:after="20"/>
            </w:pPr>
            <w:r>
              <w:rPr>
                <w:sz w:val="16"/>
              </w:rPr>
              <w:t>Suicide thoughts, severe distress, inability to stay safe</w:t>
            </w:r>
          </w:p>
        </w:tc>
        <w:tc>
          <w:tcPr>
            <w:tcW w:type="dxa" w:w="2541"/>
            <w:tcMar>
              <w:top w:w="60" w:type="dxa"/>
              <w:start w:w="65" w:type="dxa"/>
              <w:bottom w:w="60" w:type="dxa"/>
              <w:end w:w="65" w:type="dxa"/>
            </w:tcMar>
          </w:tcPr>
          <w:p>
            <w:pPr>
              <w:spacing w:after="20"/>
            </w:pPr>
            <w:r>
              <w:rPr>
                <w:sz w:val="16"/>
              </w:rPr>
              <w:t>988/crisis connection; safety plan/support; emergency escalation as needed</w:t>
            </w:r>
          </w:p>
        </w:tc>
        <w:tc>
          <w:tcPr>
            <w:tcW w:type="dxa" w:w="2541"/>
            <w:tcMar>
              <w:top w:w="60" w:type="dxa"/>
              <w:start w:w="65" w:type="dxa"/>
              <w:bottom w:w="60" w:type="dxa"/>
              <w:end w:w="65" w:type="dxa"/>
            </w:tcMar>
          </w:tcPr>
          <w:p>
            <w:pPr>
              <w:spacing w:after="20"/>
            </w:pPr>
            <w:r>
              <w:rPr>
                <w:sz w:val="16"/>
              </w:rPr>
              <w:t>Trained leader under crisis policy</w:t>
            </w:r>
          </w:p>
        </w:tc>
      </w:tr>
      <w:tr>
        <w:tc>
          <w:tcPr>
            <w:tcW w:type="dxa" w:w="2541"/>
            <w:tcMar>
              <w:top w:w="60" w:type="dxa"/>
              <w:start w:w="65" w:type="dxa"/>
              <w:bottom w:w="60" w:type="dxa"/>
              <w:end w:w="65" w:type="dxa"/>
            </w:tcMar>
          </w:tcPr>
          <w:p>
            <w:pPr>
              <w:spacing w:after="20"/>
            </w:pPr>
            <w:r>
              <w:rPr>
                <w:sz w:val="16"/>
              </w:rPr>
              <w:t>Emergency</w:t>
            </w:r>
          </w:p>
        </w:tc>
        <w:tc>
          <w:tcPr>
            <w:tcW w:type="dxa" w:w="2541"/>
            <w:tcMar>
              <w:top w:w="60" w:type="dxa"/>
              <w:start w:w="65" w:type="dxa"/>
              <w:bottom w:w="60" w:type="dxa"/>
              <w:end w:w="65" w:type="dxa"/>
            </w:tcMar>
          </w:tcPr>
          <w:p>
            <w:pPr>
              <w:spacing w:after="20"/>
            </w:pPr>
            <w:r>
              <w:rPr>
                <w:sz w:val="16"/>
              </w:rPr>
              <w:t>Imminent life-threatening danger, active violence, medical emergency</w:t>
            </w:r>
          </w:p>
        </w:tc>
        <w:tc>
          <w:tcPr>
            <w:tcW w:type="dxa" w:w="2541"/>
            <w:tcMar>
              <w:top w:w="60" w:type="dxa"/>
              <w:start w:w="65" w:type="dxa"/>
              <w:bottom w:w="60" w:type="dxa"/>
              <w:end w:w="65" w:type="dxa"/>
            </w:tcMar>
          </w:tcPr>
          <w:p>
            <w:pPr>
              <w:spacing w:after="20"/>
            </w:pPr>
            <w:r>
              <w:rPr>
                <w:sz w:val="16"/>
              </w:rPr>
              <w:t>911/local emergency response</w:t>
            </w:r>
          </w:p>
        </w:tc>
        <w:tc>
          <w:tcPr>
            <w:tcW w:type="dxa" w:w="2541"/>
            <w:tcMar>
              <w:top w:w="60" w:type="dxa"/>
              <w:start w:w="65" w:type="dxa"/>
              <w:bottom w:w="60" w:type="dxa"/>
              <w:end w:w="65" w:type="dxa"/>
            </w:tcMar>
          </w:tcPr>
          <w:p>
            <w:pPr>
              <w:spacing w:after="20"/>
            </w:pPr>
            <w:r>
              <w:rPr>
                <w:sz w:val="16"/>
              </w:rPr>
              <w:t>Any trained responder; notify leadership per policy</w:t>
            </w:r>
          </w:p>
        </w:tc>
      </w:tr>
      <w:tr>
        <w:tc>
          <w:tcPr>
            <w:tcW w:type="dxa" w:w="2541"/>
            <w:tcMar>
              <w:top w:w="60" w:type="dxa"/>
              <w:start w:w="65" w:type="dxa"/>
              <w:bottom w:w="60" w:type="dxa"/>
              <w:end w:w="65" w:type="dxa"/>
            </w:tcMar>
          </w:tcPr>
          <w:p>
            <w:pPr>
              <w:spacing w:after="20"/>
            </w:pPr>
            <w:r>
              <w:rPr>
                <w:sz w:val="16"/>
              </w:rPr>
              <w:t>Safeguarding</w:t>
            </w:r>
          </w:p>
        </w:tc>
        <w:tc>
          <w:tcPr>
            <w:tcW w:type="dxa" w:w="2541"/>
            <w:tcMar>
              <w:top w:w="60" w:type="dxa"/>
              <w:start w:w="65" w:type="dxa"/>
              <w:bottom w:w="60" w:type="dxa"/>
              <w:end w:w="65" w:type="dxa"/>
            </w:tcMar>
          </w:tcPr>
          <w:p>
            <w:pPr>
              <w:spacing w:after="20"/>
            </w:pPr>
            <w:r>
              <w:rPr>
                <w:sz w:val="16"/>
              </w:rPr>
              <w:t>Suspected child abuse/neglect or other reportable concern</w:t>
            </w:r>
          </w:p>
        </w:tc>
        <w:tc>
          <w:tcPr>
            <w:tcW w:type="dxa" w:w="2541"/>
            <w:tcMar>
              <w:top w:w="60" w:type="dxa"/>
              <w:start w:w="65" w:type="dxa"/>
              <w:bottom w:w="60" w:type="dxa"/>
              <w:end w:w="65" w:type="dxa"/>
            </w:tcMar>
          </w:tcPr>
          <w:p>
            <w:pPr>
              <w:spacing w:after="20"/>
            </w:pPr>
            <w:r>
              <w:rPr>
                <w:sz w:val="16"/>
              </w:rPr>
              <w:t>Follow jurisdiction-specific reporting law and church policy</w:t>
            </w:r>
          </w:p>
        </w:tc>
        <w:tc>
          <w:tcPr>
            <w:tcW w:type="dxa" w:w="2541"/>
            <w:tcMar>
              <w:top w:w="60" w:type="dxa"/>
              <w:start w:w="65" w:type="dxa"/>
              <w:bottom w:w="60" w:type="dxa"/>
              <w:end w:w="65" w:type="dxa"/>
            </w:tcMar>
          </w:tcPr>
          <w:p>
            <w:pPr>
              <w:spacing w:after="20"/>
            </w:pPr>
            <w:r>
              <w:rPr>
                <w:sz w:val="16"/>
              </w:rPr>
              <w:t>Mandated reporter / safeguarding lead without unlawful delay</w:t>
            </w:r>
          </w:p>
        </w:tc>
      </w:tr>
    </w:tbl>
    <w:p>
      <w:pPr>
        <w:pStyle w:val="Heading2"/>
      </w:pPr>
      <w:r>
        <w:t>3. Build a Referral Network</w:t>
      </w:r>
    </w:p>
    <w:p>
      <w:r>
        <w:rPr>
          <w:b/>
        </w:rPr>
        <w:t>Licensed mental-health practices:</w:t>
      </w:r>
    </w:p>
    <w:p>
      <w:pPr>
        <w:spacing w:after="40"/>
      </w:pPr>
      <w:r>
        <w:rPr>
          <w:color w:val="AAAAAA"/>
          <w:sz w:val="16"/>
        </w:rPr>
        <w:t>________________________________________________________________________________</w:t>
      </w:r>
    </w:p>
    <w:p>
      <w:r>
        <w:rPr>
          <w:b/>
        </w:rPr>
        <w:t>Trauma specialists:</w:t>
      </w:r>
    </w:p>
    <w:p>
      <w:pPr>
        <w:spacing w:after="40"/>
      </w:pPr>
      <w:r>
        <w:rPr>
          <w:color w:val="AAAAAA"/>
          <w:sz w:val="16"/>
        </w:rPr>
        <w:t>________________________________________________________________________________</w:t>
      </w:r>
    </w:p>
    <w:p>
      <w:r>
        <w:rPr>
          <w:b/>
        </w:rPr>
        <w:t>Couples/family clinicians:</w:t>
      </w:r>
    </w:p>
    <w:p>
      <w:pPr>
        <w:spacing w:after="40"/>
      </w:pPr>
      <w:r>
        <w:rPr>
          <w:color w:val="AAAAAA"/>
          <w:sz w:val="16"/>
        </w:rPr>
        <w:t>________________________________________________________________________________</w:t>
      </w:r>
    </w:p>
    <w:p>
      <w:r>
        <w:rPr>
          <w:b/>
        </w:rPr>
        <w:t>Grief/bereavement programs:</w:t>
      </w:r>
    </w:p>
    <w:p>
      <w:pPr>
        <w:spacing w:after="40"/>
      </w:pPr>
      <w:r>
        <w:rPr>
          <w:color w:val="AAAAAA"/>
          <w:sz w:val="16"/>
        </w:rPr>
        <w:t>________________________________________________________________________________</w:t>
      </w:r>
    </w:p>
    <w:p>
      <w:r>
        <w:rPr>
          <w:b/>
        </w:rPr>
        <w:t>Psychiatry / medical providers:</w:t>
      </w:r>
    </w:p>
    <w:p>
      <w:pPr>
        <w:spacing w:after="40"/>
      </w:pPr>
      <w:r>
        <w:rPr>
          <w:color w:val="AAAAAA"/>
          <w:sz w:val="16"/>
        </w:rPr>
        <w:t>________________________________________________________________________________</w:t>
      </w:r>
    </w:p>
    <w:p>
      <w:r>
        <w:rPr>
          <w:b/>
        </w:rPr>
        <w:t>Substance-use treatment:</w:t>
      </w:r>
    </w:p>
    <w:p>
      <w:pPr>
        <w:spacing w:after="40"/>
      </w:pPr>
      <w:r>
        <w:rPr>
          <w:color w:val="AAAAAA"/>
          <w:sz w:val="16"/>
        </w:rPr>
        <w:t>________________________________________________________________________________</w:t>
      </w:r>
    </w:p>
    <w:p>
      <w:r>
        <w:rPr>
          <w:b/>
        </w:rPr>
        <w:t>Domestic-violence / sexual-violence advocacy:</w:t>
      </w:r>
    </w:p>
    <w:p>
      <w:pPr>
        <w:spacing w:after="40"/>
      </w:pPr>
      <w:r>
        <w:rPr>
          <w:color w:val="AAAAAA"/>
          <w:sz w:val="16"/>
        </w:rPr>
        <w:t>________________________________________________________________________________</w:t>
      </w:r>
    </w:p>
    <w:p>
      <w:r>
        <w:rPr>
          <w:b/>
        </w:rPr>
        <w:t>Youth services:</w:t>
      </w:r>
    </w:p>
    <w:p>
      <w:pPr>
        <w:spacing w:after="40"/>
      </w:pPr>
      <w:r>
        <w:rPr>
          <w:color w:val="AAAAAA"/>
          <w:sz w:val="16"/>
        </w:rPr>
        <w:t>________________________________________________________________________________</w:t>
      </w:r>
    </w:p>
    <w:p>
      <w:r>
        <w:rPr>
          <w:b/>
        </w:rPr>
        <w:t>Housing / food / financial assistance:</w:t>
      </w:r>
    </w:p>
    <w:p>
      <w:pPr>
        <w:spacing w:after="40"/>
      </w:pPr>
      <w:r>
        <w:rPr>
          <w:color w:val="AAAAAA"/>
          <w:sz w:val="16"/>
        </w:rPr>
        <w:t>________________________________________________________________________________</w:t>
      </w:r>
    </w:p>
    <w:p>
      <w:r>
        <w:rPr>
          <w:b/>
        </w:rPr>
        <w:t>Crisis and emergency resources:</w:t>
      </w:r>
    </w:p>
    <w:p>
      <w:pPr>
        <w:spacing w:after="40"/>
      </w:pPr>
      <w:r>
        <w:rPr>
          <w:color w:val="AAAAAA"/>
          <w:sz w:val="16"/>
        </w:rPr>
        <w:t>________________________________________________________________________________</w:t>
      </w:r>
    </w:p>
    <w:p>
      <w:pPr>
        <w:pStyle w:val="Heading1"/>
        <w:pageBreakBefore/>
      </w:pPr>
      <w:r>
        <w:t>Church Care Blueprint — Policies &amp; Operations</w:t>
      </w:r>
    </w:p>
    <w:p>
      <w:pPr>
        <w:pStyle w:val="Heading2"/>
      </w:pPr>
      <w:r>
        <w:t>4. Write a Privacy &amp; Confidentiality Policy</w:t>
      </w:r>
    </w:p>
    <w:p>
      <w:pPr>
        <w:pStyle w:val="ListBullet"/>
        <w:spacing w:after="40"/>
      </w:pPr>
      <w:r>
        <w:t>Explain limits before sensitive disclosures whenever possible.</w:t>
      </w:r>
    </w:p>
    <w:p>
      <w:pPr>
        <w:pStyle w:val="ListBullet"/>
        <w:spacing w:after="40"/>
      </w:pPr>
      <w:r>
        <w:t>Define who can access care information.</w:t>
      </w:r>
    </w:p>
    <w:p>
      <w:pPr>
        <w:pStyle w:val="ListBullet"/>
        <w:spacing w:after="40"/>
      </w:pPr>
      <w:r>
        <w:t>Set rules for texting, email, messaging apps, prayer lists, and group chats.</w:t>
      </w:r>
    </w:p>
    <w:p>
      <w:pPr>
        <w:pStyle w:val="ListBullet"/>
        <w:spacing w:after="40"/>
      </w:pPr>
      <w:r>
        <w:t>Separate public prayer requests from confidential care records.</w:t>
      </w:r>
    </w:p>
    <w:p>
      <w:pPr>
        <w:pStyle w:val="ListBullet"/>
        <w:spacing w:after="40"/>
      </w:pPr>
      <w:r>
        <w:t>Clarify how safeguarding, mandatory reporting, and emergency disclosures are handled.</w:t>
      </w:r>
    </w:p>
    <w:p>
      <w:pPr>
        <w:pStyle w:val="ListBullet"/>
        <w:spacing w:after="40"/>
      </w:pPr>
      <w:r>
        <w:t>Establish secure storage and retention practices with legal counsel.</w:t>
      </w:r>
    </w:p>
    <w:p>
      <w:pPr>
        <w:pStyle w:val="Heading2"/>
      </w:pPr>
      <w:r>
        <w:t>5. Write a Crisis Response Protocol</w:t>
      </w:r>
    </w:p>
    <w:p>
      <w:pPr>
        <w:pStyle w:val="ListBullet"/>
        <w:spacing w:after="40"/>
      </w:pPr>
      <w:r>
        <w:t>Who is trained to respond?</w:t>
      </w:r>
    </w:p>
    <w:p>
      <w:pPr>
        <w:pStyle w:val="ListBullet"/>
        <w:spacing w:after="40"/>
      </w:pPr>
      <w:r>
        <w:t>Where are 988, local mobile crisis, emergency, and hospital resources kept?</w:t>
      </w:r>
    </w:p>
    <w:p>
      <w:pPr>
        <w:pStyle w:val="ListBullet"/>
        <w:spacing w:after="40"/>
      </w:pPr>
      <w:r>
        <w:t>When is 911 called?</w:t>
      </w:r>
    </w:p>
    <w:p>
      <w:pPr>
        <w:pStyle w:val="ListBullet"/>
        <w:spacing w:after="40"/>
      </w:pPr>
      <w:r>
        <w:t>Who stays with the person when safe?</w:t>
      </w:r>
    </w:p>
    <w:p>
      <w:pPr>
        <w:pStyle w:val="ListBullet"/>
        <w:spacing w:after="40"/>
      </w:pPr>
      <w:r>
        <w:t>Who contacts family/support persons when appropriate?</w:t>
      </w:r>
    </w:p>
    <w:p>
      <w:pPr>
        <w:pStyle w:val="ListBullet"/>
        <w:spacing w:after="40"/>
      </w:pPr>
      <w:r>
        <w:t>How is the incident documented?</w:t>
      </w:r>
    </w:p>
    <w:p>
      <w:pPr>
        <w:pStyle w:val="ListBullet"/>
        <w:spacing w:after="40"/>
      </w:pPr>
      <w:r>
        <w:t>Who follows up the next day?</w:t>
      </w:r>
    </w:p>
    <w:p>
      <w:pPr>
        <w:pStyle w:val="ListBullet"/>
        <w:spacing w:after="40"/>
      </w:pPr>
      <w:r>
        <w:t>How is the responder debriefed and supported?</w:t>
      </w:r>
    </w:p>
    <w:p>
      <w:pPr>
        <w:pStyle w:val="Heading2"/>
      </w:pPr>
      <w:r>
        <w:t>6. Write a Safeguarding Protocol</w:t>
      </w:r>
    </w:p>
    <w:p>
      <w:pPr>
        <w:pStyle w:val="ListBullet"/>
        <w:spacing w:after="40"/>
      </w:pPr>
      <w:r>
        <w:t>State-specific mandatory-reporting responsibilities.</w:t>
      </w:r>
    </w:p>
    <w:p>
      <w:pPr>
        <w:pStyle w:val="ListBullet"/>
        <w:spacing w:after="40"/>
      </w:pPr>
      <w:r>
        <w:t>Clergy privilege limits under local law.</w:t>
      </w:r>
    </w:p>
    <w:p>
      <w:pPr>
        <w:pStyle w:val="ListBullet"/>
        <w:spacing w:after="40"/>
      </w:pPr>
      <w:r>
        <w:t>Child/youth interaction and supervision rules.</w:t>
      </w:r>
    </w:p>
    <w:p>
      <w:pPr>
        <w:pStyle w:val="ListBullet"/>
        <w:spacing w:after="40"/>
      </w:pPr>
      <w:r>
        <w:t>Response when an allegation involves a leader, employee, or volunteer.</w:t>
      </w:r>
    </w:p>
    <w:p>
      <w:pPr>
        <w:pStyle w:val="ListBullet"/>
        <w:spacing w:after="40"/>
      </w:pPr>
      <w:r>
        <w:t>External reporting and conflict-of-interest protections.</w:t>
      </w:r>
    </w:p>
    <w:p>
      <w:pPr>
        <w:pStyle w:val="ListBullet"/>
        <w:spacing w:after="40"/>
      </w:pPr>
      <w:r>
        <w:t>Training frequency and documentation.</w:t>
      </w:r>
    </w:p>
    <w:p>
      <w:pPr>
        <w:pStyle w:val="Heading2"/>
      </w:pPr>
      <w:r>
        <w:t>7. Protect Caregivers</w:t>
      </w:r>
    </w:p>
    <w:p>
      <w:pPr>
        <w:pStyle w:val="ListBullet"/>
        <w:spacing w:after="40"/>
      </w:pPr>
      <w:r>
        <w:t>No single caregiver should be the after-hours system for the whole church.</w:t>
      </w:r>
    </w:p>
    <w:p>
      <w:pPr>
        <w:pStyle w:val="ListBullet"/>
        <w:spacing w:after="40"/>
      </w:pPr>
      <w:r>
        <w:t>Use rotation, coverage, supervision, and referral thresholds.</w:t>
      </w:r>
    </w:p>
    <w:p>
      <w:pPr>
        <w:pStyle w:val="ListBullet"/>
        <w:spacing w:after="40"/>
      </w:pPr>
      <w:r>
        <w:t>Provide debriefing after high-risk situations.</w:t>
      </w:r>
    </w:p>
    <w:p>
      <w:pPr>
        <w:pStyle w:val="ListBullet"/>
        <w:spacing w:after="40"/>
      </w:pPr>
      <w:r>
        <w:t>Set expectations for rest, vacation, and off-hours boundaries.</w:t>
      </w:r>
    </w:p>
    <w:p>
      <w:pPr>
        <w:pStyle w:val="ListBullet"/>
        <w:spacing w:after="40"/>
      </w:pPr>
      <w:r>
        <w:t>Normalize therapy/consultation for caregivers when their own health is affected.</w:t>
      </w:r>
    </w:p>
    <w:p>
      <w:pPr>
        <w:pStyle w:val="Heading1"/>
        <w:pageBreakBefore/>
      </w:pPr>
      <w:r>
        <w:t>Church Care Blueprint — Training &amp; Culture</w:t>
      </w:r>
    </w:p>
    <w:p>
      <w:pPr>
        <w:pStyle w:val="Heading2"/>
      </w:pPr>
      <w:r>
        <w:t>8. Train for the Conversations You Are Likely to Have</w:t>
      </w:r>
    </w:p>
    <w:p>
      <w:pPr>
        <w:pStyle w:val="ListBullet"/>
        <w:spacing w:after="40"/>
      </w:pPr>
      <w:r>
        <w:t>Listening without fixing.</w:t>
      </w:r>
    </w:p>
    <w:p>
      <w:pPr>
        <w:pStyle w:val="ListBullet"/>
        <w:spacing w:after="40"/>
      </w:pPr>
      <w:r>
        <w:t>RISE and the 3C Check.</w:t>
      </w:r>
    </w:p>
    <w:p>
      <w:pPr>
        <w:pStyle w:val="ListBullet"/>
        <w:spacing w:after="40"/>
      </w:pPr>
      <w:r>
        <w:t>Warning signs and direct safety questions.</w:t>
      </w:r>
    </w:p>
    <w:p>
      <w:pPr>
        <w:pStyle w:val="ListBullet"/>
        <w:spacing w:after="40"/>
      </w:pPr>
      <w:r>
        <w:t>988 vs. 911 decision-making.</w:t>
      </w:r>
    </w:p>
    <w:p>
      <w:pPr>
        <w:pStyle w:val="ListBullet"/>
        <w:spacing w:after="40"/>
      </w:pPr>
      <w:r>
        <w:t>Warm referral skills.</w:t>
      </w:r>
    </w:p>
    <w:p>
      <w:pPr>
        <w:pStyle w:val="ListBullet"/>
        <w:spacing w:after="40"/>
      </w:pPr>
      <w:r>
        <w:t>Grief support.</w:t>
      </w:r>
    </w:p>
    <w:p>
      <w:pPr>
        <w:pStyle w:val="ListBullet"/>
        <w:spacing w:after="40"/>
      </w:pPr>
      <w:r>
        <w:t>Boundaries and helping vs. rescuing.</w:t>
      </w:r>
    </w:p>
    <w:p>
      <w:pPr>
        <w:pStyle w:val="ListBullet"/>
        <w:spacing w:after="40"/>
      </w:pPr>
      <w:r>
        <w:t>Abuse/coercive-control awareness and safety planning.</w:t>
      </w:r>
    </w:p>
    <w:p>
      <w:pPr>
        <w:pStyle w:val="ListBullet"/>
        <w:spacing w:after="40"/>
      </w:pPr>
      <w:r>
        <w:t>Privacy, documentation, and mandated reporting.</w:t>
      </w:r>
    </w:p>
    <w:p>
      <w:pPr>
        <w:pStyle w:val="ListBullet"/>
        <w:spacing w:after="40"/>
      </w:pPr>
      <w:r>
        <w:t>Caregiver self-stewardship.</w:t>
      </w:r>
    </w:p>
    <w:p>
      <w:pPr>
        <w:pStyle w:val="Heading2"/>
      </w:pPr>
      <w:r>
        <w:t>9. Build Language That Reduces Shame</w:t>
      </w:r>
    </w:p>
    <w:p>
      <w:r>
        <w:rPr>
          <w:i w:val="0"/>
        </w:rPr>
        <w:t>Review sermons, prayer language, small-group teaching, testimony practices, and casual conversation. Avoid language that treats mental illness, medication, therapy, trauma, suicide, grief, or family dysfunction as proof of spiritual failure.</w:t>
      </w:r>
    </w:p>
    <w:p>
      <w:pPr>
        <w:pStyle w:val="Heading2"/>
      </w:pPr>
      <w:r>
        <w:t>10. Review the System Twice a Year</w:t>
      </w:r>
    </w:p>
    <w:p>
      <w:r>
        <w:rPr>
          <w:b/>
        </w:rPr>
        <w:t>Are our referral contacts still current and accepting clients?</w:t>
      </w:r>
    </w:p>
    <w:p>
      <w:pPr>
        <w:spacing w:after="40"/>
      </w:pPr>
      <w:r>
        <w:rPr>
          <w:color w:val="AAAAAA"/>
          <w:sz w:val="16"/>
        </w:rPr>
        <w:t>________________________________________________________________________________</w:t>
      </w:r>
    </w:p>
    <w:p>
      <w:r>
        <w:rPr>
          <w:b/>
        </w:rPr>
        <w:t>Have crisis numbers or local resources changed?</w:t>
      </w:r>
    </w:p>
    <w:p>
      <w:pPr>
        <w:spacing w:after="40"/>
      </w:pPr>
      <w:r>
        <w:rPr>
          <w:color w:val="AAAAAA"/>
          <w:sz w:val="16"/>
        </w:rPr>
        <w:t>________________________________________________________________________________</w:t>
      </w:r>
    </w:p>
    <w:p>
      <w:r>
        <w:rPr>
          <w:b/>
        </w:rPr>
        <w:t>Are volunteers trained and within role?</w:t>
      </w:r>
    </w:p>
    <w:p>
      <w:pPr>
        <w:spacing w:after="40"/>
      </w:pPr>
      <w:r>
        <w:rPr>
          <w:color w:val="AAAAAA"/>
          <w:sz w:val="16"/>
        </w:rPr>
        <w:t>________________________________________________________________________________</w:t>
      </w:r>
    </w:p>
    <w:p>
      <w:r>
        <w:rPr>
          <w:b/>
        </w:rPr>
        <w:t>Have we had incidents that revealed gaps in policy?</w:t>
      </w:r>
    </w:p>
    <w:p>
      <w:pPr>
        <w:spacing w:after="40"/>
      </w:pPr>
      <w:r>
        <w:rPr>
          <w:color w:val="AAAAAA"/>
          <w:sz w:val="16"/>
        </w:rPr>
        <w:t>________________________________________________________________________________</w:t>
      </w:r>
    </w:p>
    <w:p>
      <w:r>
        <w:rPr>
          <w:b/>
        </w:rPr>
        <w:t>Are caregivers burning out?</w:t>
      </w:r>
    </w:p>
    <w:p>
      <w:pPr>
        <w:spacing w:after="40"/>
      </w:pPr>
      <w:r>
        <w:rPr>
          <w:color w:val="AAAAAA"/>
          <w:sz w:val="16"/>
        </w:rPr>
        <w:t>________________________________________________________________________________</w:t>
      </w:r>
    </w:p>
    <w:p>
      <w:r>
        <w:rPr>
          <w:b/>
        </w:rPr>
        <w:t>Are people experiencing care as dignifying, clear, and connected rather than confusing or shaming?</w:t>
      </w:r>
    </w:p>
    <w:p>
      <w:pPr>
        <w:spacing w:after="40"/>
      </w:pPr>
      <w:r>
        <w:rPr>
          <w:color w:val="AAAAAA"/>
          <w:sz w:val="16"/>
        </w:rPr>
        <w:t>________________________________________________________________________________</w:t>
      </w:r>
    </w:p>
    <w:p>
      <w:pPr>
        <w:pStyle w:val="Heading1"/>
        <w:pageBreakBefore/>
      </w:pPr>
      <w:r>
        <w:t>Tool 16 — Ready-to-Use Ministry Forms</w:t>
      </w:r>
    </w:p>
    <w:p>
      <w:pPr>
        <w:pStyle w:val="Heading2"/>
      </w:pPr>
      <w:r>
        <w:t>Care Conversation Note — Minimal, Objective, Purposeful</w:t>
      </w:r>
    </w:p>
    <w:p>
      <w:r>
        <w:rPr>
          <w:i w:val="0"/>
        </w:rPr>
        <w:t>Use only if your church has an approved documentation policy. Do not create sensitive records casually.</w:t>
      </w:r>
    </w:p>
    <w:p>
      <w:r>
        <w:rPr>
          <w:b/>
        </w:rPr>
        <w:t>Name / identifier:</w:t>
      </w:r>
    </w:p>
    <w:p>
      <w:pPr>
        <w:spacing w:after="40"/>
      </w:pPr>
      <w:r>
        <w:rPr>
          <w:color w:val="AAAAAA"/>
          <w:sz w:val="16"/>
        </w:rPr>
        <w:t>________________________________________________________________________________</w:t>
      </w:r>
    </w:p>
    <w:p>
      <w:r>
        <w:rPr>
          <w:b/>
        </w:rPr>
        <w:t>Date / caregiver:</w:t>
      </w:r>
    </w:p>
    <w:p>
      <w:pPr>
        <w:spacing w:after="40"/>
      </w:pPr>
      <w:r>
        <w:rPr>
          <w:color w:val="AAAAAA"/>
          <w:sz w:val="16"/>
        </w:rPr>
        <w:t>________________________________________________________________________________</w:t>
      </w:r>
    </w:p>
    <w:p>
      <w:r>
        <w:rPr>
          <w:b/>
        </w:rPr>
        <w:t>Primary concern in the person’s own words:</w:t>
      </w:r>
    </w:p>
    <w:p>
      <w:pPr>
        <w:spacing w:after="40"/>
      </w:pPr>
      <w:r>
        <w:rPr>
          <w:color w:val="AAAAAA"/>
          <w:sz w:val="16"/>
        </w:rPr>
        <w:t>________________________________________________________________________________</w:t>
      </w:r>
    </w:p>
    <w:p>
      <w:r>
        <w:rPr>
          <w:b/>
        </w:rPr>
        <w:t>Observable changes / functioning concerns:</w:t>
      </w:r>
    </w:p>
    <w:p>
      <w:pPr>
        <w:spacing w:after="40"/>
      </w:pPr>
      <w:r>
        <w:rPr>
          <w:color w:val="AAAAAA"/>
          <w:sz w:val="16"/>
        </w:rPr>
        <w:t>________________________________________________________________________________</w:t>
      </w:r>
    </w:p>
    <w:p>
      <w:r>
        <w:rPr>
          <w:b/>
        </w:rPr>
        <w:t>Safety concern? If yes, what was asked and what was stated?</w:t>
      </w:r>
    </w:p>
    <w:p>
      <w:pPr>
        <w:spacing w:after="40"/>
      </w:pPr>
      <w:r>
        <w:rPr>
          <w:color w:val="AAAAAA"/>
          <w:sz w:val="16"/>
        </w:rPr>
        <w:t>________________________________________________________________________________</w:t>
      </w:r>
    </w:p>
    <w:p>
      <w:r>
        <w:rPr>
          <w:b/>
        </w:rPr>
        <w:t>Support provided:</w:t>
      </w:r>
    </w:p>
    <w:p>
      <w:pPr>
        <w:spacing w:after="40"/>
      </w:pPr>
      <w:r>
        <w:rPr>
          <w:color w:val="AAAAAA"/>
          <w:sz w:val="16"/>
        </w:rPr>
        <w:t>________________________________________________________________________________</w:t>
      </w:r>
    </w:p>
    <w:p>
      <w:r>
        <w:rPr>
          <w:b/>
        </w:rPr>
        <w:t>Referral/resource offered:</w:t>
      </w:r>
    </w:p>
    <w:p>
      <w:pPr>
        <w:spacing w:after="40"/>
      </w:pPr>
      <w:r>
        <w:rPr>
          <w:color w:val="AAAAAA"/>
          <w:sz w:val="16"/>
        </w:rPr>
        <w:t>________________________________________________________________________________</w:t>
      </w:r>
    </w:p>
    <w:p>
      <w:r>
        <w:rPr>
          <w:b/>
        </w:rPr>
        <w:t>Consent / people included:</w:t>
      </w:r>
    </w:p>
    <w:p>
      <w:pPr>
        <w:spacing w:after="40"/>
      </w:pPr>
      <w:r>
        <w:rPr>
          <w:color w:val="AAAAAA"/>
          <w:sz w:val="16"/>
        </w:rPr>
        <w:t>________________________________________________________________________________</w:t>
      </w:r>
    </w:p>
    <w:p>
      <w:r>
        <w:rPr>
          <w:b/>
        </w:rPr>
        <w:t>Follow-up plan and owner:</w:t>
      </w:r>
    </w:p>
    <w:p>
      <w:pPr>
        <w:spacing w:after="40"/>
      </w:pPr>
      <w:r>
        <w:rPr>
          <w:color w:val="AAAAAA"/>
          <w:sz w:val="16"/>
        </w:rPr>
        <w:t>________________________________________________________________________________</w:t>
      </w:r>
    </w:p>
    <w:p>
      <w:pPr>
        <w:pStyle w:val="Heading1"/>
        <w:pageBreakBefore/>
      </w:pPr>
      <w:r>
        <w:t>Referral Partner Worksheet</w:t>
      </w:r>
    </w:p>
    <w:p>
      <w:r>
        <w:rPr>
          <w:b/>
        </w:rPr>
        <w:t>Organization / provider:</w:t>
      </w:r>
    </w:p>
    <w:p>
      <w:pPr>
        <w:spacing w:after="40"/>
      </w:pPr>
      <w:r>
        <w:rPr>
          <w:color w:val="AAAAAA"/>
          <w:sz w:val="16"/>
        </w:rPr>
        <w:t>________________________________________________________________________________</w:t>
      </w:r>
    </w:p>
    <w:p>
      <w:r>
        <w:rPr>
          <w:b/>
        </w:rPr>
        <w:t>Primary contact:</w:t>
      </w:r>
    </w:p>
    <w:p>
      <w:pPr>
        <w:spacing w:after="40"/>
      </w:pPr>
      <w:r>
        <w:rPr>
          <w:color w:val="AAAAAA"/>
          <w:sz w:val="16"/>
        </w:rPr>
        <w:t>________________________________________________________________________________</w:t>
      </w:r>
    </w:p>
    <w:p>
      <w:r>
        <w:rPr>
          <w:b/>
        </w:rPr>
        <w:t>Credentials / licensure:</w:t>
      </w:r>
    </w:p>
    <w:p>
      <w:pPr>
        <w:spacing w:after="40"/>
      </w:pPr>
      <w:r>
        <w:rPr>
          <w:color w:val="AAAAAA"/>
          <w:sz w:val="16"/>
        </w:rPr>
        <w:t>________________________________________________________________________________</w:t>
      </w:r>
    </w:p>
    <w:p>
      <w:r>
        <w:rPr>
          <w:b/>
        </w:rPr>
        <w:t>Populations served:</w:t>
      </w:r>
    </w:p>
    <w:p>
      <w:pPr>
        <w:spacing w:after="40"/>
      </w:pPr>
      <w:r>
        <w:rPr>
          <w:color w:val="AAAAAA"/>
          <w:sz w:val="16"/>
        </w:rPr>
        <w:t>________________________________________________________________________________</w:t>
      </w:r>
    </w:p>
    <w:p>
      <w:r>
        <w:rPr>
          <w:b/>
        </w:rPr>
        <w:t>Specialties:</w:t>
      </w:r>
    </w:p>
    <w:p>
      <w:pPr>
        <w:spacing w:after="40"/>
      </w:pPr>
      <w:r>
        <w:rPr>
          <w:color w:val="AAAAAA"/>
          <w:sz w:val="16"/>
        </w:rPr>
        <w:t>________________________________________________________________________________</w:t>
      </w:r>
    </w:p>
    <w:p>
      <w:r>
        <w:rPr>
          <w:b/>
        </w:rPr>
        <w:t>Insurance / fees / sliding scale:</w:t>
      </w:r>
    </w:p>
    <w:p>
      <w:pPr>
        <w:spacing w:after="40"/>
      </w:pPr>
      <w:r>
        <w:rPr>
          <w:color w:val="AAAAAA"/>
          <w:sz w:val="16"/>
        </w:rPr>
        <w:t>________________________________________________________________________________</w:t>
      </w:r>
    </w:p>
    <w:p>
      <w:r>
        <w:rPr>
          <w:b/>
        </w:rPr>
        <w:t>Current wait time:</w:t>
      </w:r>
    </w:p>
    <w:p>
      <w:pPr>
        <w:spacing w:after="40"/>
      </w:pPr>
      <w:r>
        <w:rPr>
          <w:color w:val="AAAAAA"/>
          <w:sz w:val="16"/>
        </w:rPr>
        <w:t>________________________________________________________________________________</w:t>
      </w:r>
    </w:p>
    <w:p>
      <w:r>
        <w:rPr>
          <w:b/>
        </w:rPr>
        <w:t>Emergency / after-hours process:</w:t>
      </w:r>
    </w:p>
    <w:p>
      <w:pPr>
        <w:spacing w:after="40"/>
      </w:pPr>
      <w:r>
        <w:rPr>
          <w:color w:val="AAAAAA"/>
          <w:sz w:val="16"/>
        </w:rPr>
        <w:t>________________________________________________________________________________</w:t>
      </w:r>
    </w:p>
    <w:p>
      <w:r>
        <w:rPr>
          <w:b/>
        </w:rPr>
        <w:t>Faith integration available if client requests it?</w:t>
      </w:r>
    </w:p>
    <w:p>
      <w:pPr>
        <w:spacing w:after="40"/>
      </w:pPr>
      <w:r>
        <w:rPr>
          <w:color w:val="AAAAAA"/>
          <w:sz w:val="16"/>
        </w:rPr>
        <w:t>________________________________________________________________________________</w:t>
      </w:r>
    </w:p>
    <w:p>
      <w:r>
        <w:rPr>
          <w:b/>
        </w:rPr>
        <w:t>How referrals should be made:</w:t>
      </w:r>
    </w:p>
    <w:p>
      <w:pPr>
        <w:spacing w:after="40"/>
      </w:pPr>
      <w:r>
        <w:rPr>
          <w:color w:val="AAAAAA"/>
          <w:sz w:val="16"/>
        </w:rPr>
        <w:t>________________________________________________________________________________</w:t>
      </w:r>
    </w:p>
    <w:p>
      <w:r>
        <w:rPr>
          <w:b/>
        </w:rPr>
        <w:t>Last verified date:</w:t>
      </w:r>
    </w:p>
    <w:p>
      <w:pPr>
        <w:spacing w:after="40"/>
      </w:pPr>
      <w:r>
        <w:rPr>
          <w:color w:val="AAAAAA"/>
          <w:sz w:val="16"/>
        </w:rPr>
        <w:t>________________________________________________________________________________</w:t>
      </w:r>
    </w:p>
    <w:p>
      <w:r>
        <w:rPr>
          <w:b/>
        </w:rPr>
        <w:t>Notes:</w:t>
      </w:r>
    </w:p>
    <w:p>
      <w:pPr>
        <w:spacing w:after="40"/>
      </w:pPr>
      <w:r>
        <w:rPr>
          <w:color w:val="AAAAAA"/>
          <w:sz w:val="16"/>
        </w:rPr>
        <w:t>________________________________________________________________________________</w:t>
      </w:r>
    </w:p>
    <w:p>
      <w:pPr>
        <w:pStyle w:val="Heading1"/>
        <w:pageBreakBefore/>
      </w:pPr>
      <w:r>
        <w:t>Caregiver Debrief Form</w:t>
      </w:r>
    </w:p>
    <w:p>
      <w:r>
        <w:rPr>
          <w:b/>
        </w:rPr>
        <w:t>What happened objectively?</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did I feel in my body during or after the conversation?</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part of this is staying with me?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Did this activate my own history or condition?</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Did I stay within my role?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follow-up is mine?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is not mine?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Do I need supervision, consultation, prayer, therapy, rest, or time away?</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boundary would make future care more sustainable?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Helping vs. Rescuing Reflection Sheet</w:t>
      </w:r>
    </w:p>
    <w:p>
      <w:r>
        <w:rPr>
          <w:b/>
        </w:rPr>
        <w:t>What am I currently doing for this person?</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Which parts did they ask me to do?</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Which parts could they reasonably do themselves?</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happens when I do not step in?</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am I afraid will happen if I set a boundary?</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is this costing my body, family, work, ministry, or peace?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would empowerment look like instead?</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What is one boundary or shared-responsibility step I will take?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RISE Care Planning Worksheet</w:t>
      </w:r>
    </w:p>
    <w:p>
      <w:r>
        <w:rPr>
          <w:b/>
        </w:rPr>
        <w:t>RECOGNIZE — What is happening? What changed? What do I know vs. assume?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INTERVENE / IMPLEMENT — What is the next responsible action?</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STEWARD — What is my role? What needs consultation, privacy, referral, or follow-up?</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EMPOWER — What can the person choose, carry, practice, or initiate?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3C — What is my capacity, condition, and courageous truth?</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THEIR CAPACITY — What can they carry themselves?</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r>
        <w:rPr>
          <w:b/>
        </w:rPr>
        <w:t>NEXT CONTACT — Who will follow up, when, and for what purpose?</w:t>
      </w:r>
    </w:p>
    <w:p>
      <w:pPr>
        <w:spacing w:after="40"/>
      </w:pPr>
      <w:r>
        <w:rPr>
          <w:color w:val="AAAAAA"/>
          <w:sz w:val="16"/>
        </w:rPr>
        <w:t>________________________________________________________________________________</w:t>
      </w:r>
    </w:p>
    <w:p>
      <w:pPr>
        <w:spacing w:after="40"/>
      </w:pPr>
      <w:r>
        <w:rPr>
          <w:color w:val="AAAAAA"/>
          <w:sz w:val="16"/>
        </w:rPr>
        <w:t>________________________________________________________________________________</w:t>
      </w:r>
    </w:p>
    <w:p>
      <w:pPr>
        <w:pStyle w:val="Heading1"/>
        <w:pageBreakBefore/>
      </w:pPr>
      <w:r>
        <w:t>Tool 17 — Scripture Anchors &amp; Revelations for Care</w:t>
      </w:r>
    </w:p>
    <w:p>
      <w:r>
        <w:rPr>
          <w:i w:val="0"/>
        </w:rPr>
        <w:t>These pages are designed as spiritual anchors, not as replacements for appropriate mental-health, medical, crisis, or safeguarding care. Before publication, verify the Scripture translation and permissions used in the final manuscript.</w:t>
      </w:r>
    </w:p>
    <w:p>
      <w:pPr>
        <w:pStyle w:val="Heading2"/>
      </w:pPr>
      <w:r>
        <w:t>Hebrews 4:12 — Soul and Spirit</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I have given you a sword that divides soul and spirit, that discerns wounds from truth, that reaches what holds you together, that touches what keeps you alive. I gave you My Word—not to shame you, but to show you how deep the wound goes.</w:t>
            </w:r>
          </w:p>
        </w:tc>
      </w:tr>
    </w:tbl>
    <w:p>
      <w:pPr>
        <w:spacing w:after="0"/>
      </w:pPr>
    </w:p>
    <w:p>
      <w:r>
        <w:rPr>
          <w:i w:val="0"/>
        </w:rPr>
        <w:t>Use in the book as prophetic application / revelation anchored to Hebrews 4:12, not as a direct quotation of the biblical verse.</w:t>
      </w:r>
    </w:p>
    <w:p>
      <w:pPr>
        <w:pStyle w:val="Heading2"/>
      </w:pPr>
      <w:r>
        <w:t>Romans 12:2 — Conditioning and Renewal</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You are not broken. You were conditioned. What shaped you does not have to permanently define you.</w:t>
            </w:r>
          </w:p>
        </w:tc>
      </w:tr>
    </w:tbl>
    <w:p>
      <w:pPr>
        <w:spacing w:after="0"/>
      </w:pPr>
    </w:p>
    <w:p>
      <w:pPr>
        <w:pStyle w:val="Heading2"/>
      </w:pPr>
      <w:r>
        <w:t>Galatians 6 &amp; Matthew 11 — Carrying and Release</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There is a difference between what God invites you to release and what He assigns you to carry.</w:t>
            </w:r>
          </w:p>
        </w:tc>
      </w:tr>
    </w:tbl>
    <w:p>
      <w:pPr>
        <w:spacing w:after="0"/>
      </w:pPr>
    </w:p>
    <w:p>
      <w:pPr>
        <w:pStyle w:val="Heading2"/>
      </w:pPr>
      <w:r>
        <w:t>Proverbs 31:18 — Protect the Lamp</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Her lamp does not go out at night. Resilience is not pretending the night is easy; it is protecting the flame through it.</w:t>
            </w:r>
          </w:p>
        </w:tc>
      </w:tr>
    </w:tbl>
    <w:p>
      <w:pPr>
        <w:spacing w:after="0"/>
      </w:pPr>
    </w:p>
    <w:p>
      <w:pPr>
        <w:pStyle w:val="Heading2"/>
      </w:pPr>
      <w:r>
        <w:t>Proverbs 31:21 — Prepare Before the Snow</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She does not wait until crisis strikes to care. She prepares before the frost hits.</w:t>
            </w:r>
          </w:p>
        </w:tc>
      </w:tr>
    </w:tbl>
    <w:p>
      <w:pPr>
        <w:spacing w:after="0"/>
      </w:pPr>
    </w:p>
    <w:p>
      <w:pPr>
        <w:pStyle w:val="Heading2"/>
      </w:pPr>
      <w:r>
        <w:t>Proverbs 31:26 — The Teaching of Kindness</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Wisdom lives there. Not reaction. Not sarcasm. Not shame-drenched silence. The right words at the right time heal what silence wounded.</w:t>
            </w:r>
          </w:p>
        </w:tc>
      </w:tr>
    </w:tbl>
    <w:p>
      <w:pPr>
        <w:spacing w:after="0"/>
      </w:pPr>
    </w:p>
    <w:p>
      <w:pPr>
        <w:pStyle w:val="Heading2"/>
      </w:pPr>
      <w:r>
        <w:t>Code Blue — Root Before Fruit</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You keep asking Me to fix your behavior—but I want to heal your belief systems. Let Me touch the root, not just the fruit.</w:t>
            </w:r>
          </w:p>
        </w:tc>
      </w:tr>
    </w:tbl>
    <w:p>
      <w:pPr>
        <w:spacing w:after="0"/>
      </w:pPr>
    </w:p>
    <w:p>
      <w:pPr>
        <w:pStyle w:val="Heading2"/>
      </w:pPr>
      <w:r>
        <w:t>Code Blue — Survival Is Not the Destination</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Survival without surrender is suppression in Sunday clothes.</w:t>
            </w:r>
          </w:p>
        </w:tc>
      </w:tr>
    </w:tbl>
    <w:p>
      <w:pPr>
        <w:spacing w:after="0"/>
      </w:pPr>
    </w:p>
    <w:p>
      <w:pPr>
        <w:pStyle w:val="Heading2"/>
      </w:pPr>
      <w:r>
        <w:t>Code Blue — The Baton</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Hand down peace, not panic. Hand down faith, not fear. Hand down strategy, not suffering.</w:t>
            </w:r>
          </w:p>
        </w:tc>
      </w:tr>
    </w:tbl>
    <w:p>
      <w:pPr>
        <w:spacing w:after="0"/>
      </w:pPr>
    </w:p>
    <w:p>
      <w:pPr>
        <w:pStyle w:val="Heading2"/>
      </w:pPr>
      <w:r>
        <w:t>Code Blue — The Summons</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REVELATION</w:t>
            </w:r>
          </w:p>
          <w:p>
            <w:r>
              <w:rPr>
                <w:b/>
                <w:sz w:val="22"/>
              </w:rPr>
              <w:t>Recognize the wound. Intervene with My help. Steward the healing. Empower those coming after you. The future belongs to the healed. Now… RISE.</w:t>
            </w:r>
          </w:p>
        </w:tc>
      </w:tr>
    </w:tbl>
    <w:p>
      <w:pPr>
        <w:spacing w:after="0"/>
      </w:pPr>
    </w:p>
    <w:p>
      <w:pPr>
        <w:pStyle w:val="Heading1"/>
        <w:pageBreakBefore/>
      </w:pPr>
      <w:r>
        <w:t>One-Page Quick Reference — What Do I Do Now?</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Situation</w:t>
            </w:r>
          </w:p>
        </w:tc>
        <w:tc>
          <w:tcPr>
            <w:tcW w:type="dxa" w:w="5083"/>
            <w:shd w:fill="6B4FA1"/>
          </w:tcPr>
          <w:p>
            <w:r>
              <w:rPr>
                <w:b/>
                <w:color w:val="FFFFFF"/>
              </w:rPr>
              <w:t>Next Faithful Step</w:t>
            </w:r>
          </w:p>
        </w:tc>
      </w:tr>
      <w:tr>
        <w:tc>
          <w:tcPr>
            <w:tcW w:type="dxa" w:w="5083"/>
            <w:vAlign w:val="top"/>
            <w:tcMar>
              <w:top w:w="80" w:type="dxa"/>
              <w:start w:w="90" w:type="dxa"/>
              <w:bottom w:w="80" w:type="dxa"/>
              <w:end w:w="90" w:type="dxa"/>
            </w:tcMar>
          </w:tcPr>
          <w:p>
            <w:pPr>
              <w:spacing w:after="40"/>
            </w:pPr>
            <w:r>
              <w:rPr>
                <w:sz w:val="18"/>
              </w:rPr>
              <w:t>They need to talk</w:t>
            </w:r>
          </w:p>
        </w:tc>
        <w:tc>
          <w:tcPr>
            <w:tcW w:type="dxa" w:w="5083"/>
            <w:vAlign w:val="top"/>
            <w:tcMar>
              <w:top w:w="80" w:type="dxa"/>
              <w:start w:w="90" w:type="dxa"/>
              <w:bottom w:w="80" w:type="dxa"/>
              <w:end w:w="90" w:type="dxa"/>
            </w:tcMar>
          </w:tcPr>
          <w:p>
            <w:pPr>
              <w:spacing w:after="40"/>
            </w:pPr>
            <w:r>
              <w:rPr>
                <w:sz w:val="18"/>
              </w:rPr>
              <w:t>Listen. Slow down. Ask what kind of support they want. Use RISE.</w:t>
            </w:r>
          </w:p>
        </w:tc>
      </w:tr>
      <w:tr>
        <w:tc>
          <w:tcPr>
            <w:tcW w:type="dxa" w:w="5083"/>
            <w:vAlign w:val="top"/>
            <w:tcMar>
              <w:top w:w="80" w:type="dxa"/>
              <w:start w:w="90" w:type="dxa"/>
              <w:bottom w:w="80" w:type="dxa"/>
              <w:end w:w="90" w:type="dxa"/>
            </w:tcMar>
          </w:tcPr>
          <w:p>
            <w:pPr>
              <w:spacing w:after="40"/>
            </w:pPr>
            <w:r>
              <w:rPr>
                <w:sz w:val="18"/>
              </w:rPr>
              <w:t>They are grieving</w:t>
            </w:r>
          </w:p>
        </w:tc>
        <w:tc>
          <w:tcPr>
            <w:tcW w:type="dxa" w:w="5083"/>
            <w:vAlign w:val="top"/>
            <w:tcMar>
              <w:top w:w="80" w:type="dxa"/>
              <w:start w:w="90" w:type="dxa"/>
              <w:bottom w:w="80" w:type="dxa"/>
              <w:end w:w="90" w:type="dxa"/>
            </w:tcMar>
          </w:tcPr>
          <w:p>
            <w:pPr>
              <w:spacing w:after="40"/>
            </w:pPr>
            <w:r>
              <w:rPr>
                <w:sz w:val="18"/>
              </w:rPr>
              <w:t>Do not fix or rush. Offer presence, practical care, flexible traditions, and follow-up.</w:t>
            </w:r>
          </w:p>
        </w:tc>
      </w:tr>
      <w:tr>
        <w:tc>
          <w:tcPr>
            <w:tcW w:type="dxa" w:w="5083"/>
            <w:vAlign w:val="top"/>
            <w:tcMar>
              <w:top w:w="80" w:type="dxa"/>
              <w:start w:w="90" w:type="dxa"/>
              <w:bottom w:w="80" w:type="dxa"/>
              <w:end w:w="90" w:type="dxa"/>
            </w:tcMar>
          </w:tcPr>
          <w:p>
            <w:pPr>
              <w:spacing w:after="40"/>
            </w:pPr>
            <w:r>
              <w:rPr>
                <w:sz w:val="18"/>
              </w:rPr>
              <w:t>They are persistently impaired</w:t>
            </w:r>
          </w:p>
        </w:tc>
        <w:tc>
          <w:tcPr>
            <w:tcW w:type="dxa" w:w="5083"/>
            <w:vAlign w:val="top"/>
            <w:tcMar>
              <w:top w:w="80" w:type="dxa"/>
              <w:start w:w="90" w:type="dxa"/>
              <w:bottom w:w="80" w:type="dxa"/>
              <w:end w:w="90" w:type="dxa"/>
            </w:tcMar>
          </w:tcPr>
          <w:p>
            <w:pPr>
              <w:spacing w:after="40"/>
            </w:pPr>
            <w:r>
              <w:rPr>
                <w:sz w:val="18"/>
              </w:rPr>
              <w:t>Encourage professional evaluation. Keep pastoral/community support in place.</w:t>
            </w:r>
          </w:p>
        </w:tc>
      </w:tr>
      <w:tr>
        <w:tc>
          <w:tcPr>
            <w:tcW w:type="dxa" w:w="5083"/>
            <w:vAlign w:val="top"/>
            <w:tcMar>
              <w:top w:w="80" w:type="dxa"/>
              <w:start w:w="90" w:type="dxa"/>
              <w:bottom w:w="80" w:type="dxa"/>
              <w:end w:w="90" w:type="dxa"/>
            </w:tcMar>
          </w:tcPr>
          <w:p>
            <w:pPr>
              <w:spacing w:after="40"/>
            </w:pPr>
            <w:r>
              <w:rPr>
                <w:sz w:val="18"/>
              </w:rPr>
              <w:t>They mention suicide/self-harm</w:t>
            </w:r>
          </w:p>
        </w:tc>
        <w:tc>
          <w:tcPr>
            <w:tcW w:type="dxa" w:w="5083"/>
            <w:vAlign w:val="top"/>
            <w:tcMar>
              <w:top w:w="80" w:type="dxa"/>
              <w:start w:w="90" w:type="dxa"/>
              <w:bottom w:w="80" w:type="dxa"/>
              <w:end w:w="90" w:type="dxa"/>
            </w:tcMar>
          </w:tcPr>
          <w:p>
            <w:pPr>
              <w:spacing w:after="40"/>
            </w:pPr>
            <w:r>
              <w:rPr>
                <w:sz w:val="18"/>
              </w:rPr>
              <w:t>Ask directly. Stay present. Contact 988. Use 911/local emergency response for imminent life-threatening danger.</w:t>
            </w:r>
          </w:p>
        </w:tc>
      </w:tr>
      <w:tr>
        <w:tc>
          <w:tcPr>
            <w:tcW w:type="dxa" w:w="5083"/>
            <w:vAlign w:val="top"/>
            <w:tcMar>
              <w:top w:w="80" w:type="dxa"/>
              <w:start w:w="90" w:type="dxa"/>
              <w:bottom w:w="80" w:type="dxa"/>
              <w:end w:w="90" w:type="dxa"/>
            </w:tcMar>
          </w:tcPr>
          <w:p>
            <w:pPr>
              <w:spacing w:after="40"/>
            </w:pPr>
            <w:r>
              <w:rPr>
                <w:sz w:val="18"/>
              </w:rPr>
              <w:t>They disclose abuse</w:t>
            </w:r>
          </w:p>
        </w:tc>
        <w:tc>
          <w:tcPr>
            <w:tcW w:type="dxa" w:w="5083"/>
            <w:vAlign w:val="top"/>
            <w:tcMar>
              <w:top w:w="80" w:type="dxa"/>
              <w:start w:w="90" w:type="dxa"/>
              <w:bottom w:w="80" w:type="dxa"/>
              <w:end w:w="90" w:type="dxa"/>
            </w:tcMar>
          </w:tcPr>
          <w:p>
            <w:pPr>
              <w:spacing w:after="40"/>
            </w:pPr>
            <w:r>
              <w:rPr>
                <w:sz w:val="18"/>
              </w:rPr>
              <w:t>Prioritize safety. Do not default to joint conflict resolution. Connect to specialized support. Follow reporting duties.</w:t>
            </w:r>
          </w:p>
        </w:tc>
      </w:tr>
      <w:tr>
        <w:tc>
          <w:tcPr>
            <w:tcW w:type="dxa" w:w="5083"/>
            <w:vAlign w:val="top"/>
            <w:tcMar>
              <w:top w:w="80" w:type="dxa"/>
              <w:start w:w="90" w:type="dxa"/>
              <w:bottom w:w="80" w:type="dxa"/>
              <w:end w:w="90" w:type="dxa"/>
            </w:tcMar>
          </w:tcPr>
          <w:p>
            <w:pPr>
              <w:spacing w:after="40"/>
            </w:pPr>
            <w:r>
              <w:rPr>
                <w:sz w:val="18"/>
              </w:rPr>
              <w:t>They refuse referral</w:t>
            </w:r>
          </w:p>
        </w:tc>
        <w:tc>
          <w:tcPr>
            <w:tcW w:type="dxa" w:w="5083"/>
            <w:vAlign w:val="top"/>
            <w:tcMar>
              <w:top w:w="80" w:type="dxa"/>
              <w:start w:w="90" w:type="dxa"/>
              <w:bottom w:w="80" w:type="dxa"/>
              <w:end w:w="90" w:type="dxa"/>
            </w:tcMar>
          </w:tcPr>
          <w:p>
            <w:pPr>
              <w:spacing w:after="40"/>
            </w:pPr>
            <w:r>
              <w:rPr>
                <w:sz w:val="18"/>
              </w:rPr>
              <w:t>Respect choice unless safety/legal duties require action. Clarify your role and limits. Keep the door open.</w:t>
            </w:r>
          </w:p>
        </w:tc>
      </w:tr>
      <w:tr>
        <w:tc>
          <w:tcPr>
            <w:tcW w:type="dxa" w:w="5083"/>
            <w:vAlign w:val="top"/>
            <w:tcMar>
              <w:top w:w="80" w:type="dxa"/>
              <w:start w:w="90" w:type="dxa"/>
              <w:bottom w:w="80" w:type="dxa"/>
              <w:end w:w="90" w:type="dxa"/>
            </w:tcMar>
          </w:tcPr>
          <w:p>
            <w:pPr>
              <w:spacing w:after="40"/>
            </w:pPr>
            <w:r>
              <w:rPr>
                <w:sz w:val="18"/>
              </w:rPr>
              <w:t>You are depleted</w:t>
            </w:r>
          </w:p>
        </w:tc>
        <w:tc>
          <w:tcPr>
            <w:tcW w:type="dxa" w:w="5083"/>
            <w:vAlign w:val="top"/>
            <w:tcMar>
              <w:top w:w="80" w:type="dxa"/>
              <w:start w:w="90" w:type="dxa"/>
              <w:bottom w:w="80" w:type="dxa"/>
              <w:end w:w="90" w:type="dxa"/>
            </w:tcMar>
          </w:tcPr>
          <w:p>
            <w:pPr>
              <w:spacing w:after="40"/>
            </w:pPr>
            <w:r>
              <w:rPr>
                <w:sz w:val="18"/>
              </w:rPr>
              <w:t>Use the 3C Check. Reduce load. Seek supervision/support. Protect the lamp.</w:t>
            </w:r>
          </w:p>
        </w:tc>
      </w:tr>
      <w:tr>
        <w:tc>
          <w:tcPr>
            <w:tcW w:type="dxa" w:w="5083"/>
            <w:vAlign w:val="top"/>
            <w:tcMar>
              <w:top w:w="80" w:type="dxa"/>
              <w:start w:w="90" w:type="dxa"/>
              <w:bottom w:w="80" w:type="dxa"/>
              <w:end w:w="90" w:type="dxa"/>
            </w:tcMar>
          </w:tcPr>
          <w:p>
            <w:pPr>
              <w:spacing w:after="40"/>
            </w:pPr>
            <w:r>
              <w:rPr>
                <w:sz w:val="18"/>
              </w:rPr>
              <w:t>You are doing everything</w:t>
            </w:r>
          </w:p>
        </w:tc>
        <w:tc>
          <w:tcPr>
            <w:tcW w:type="dxa" w:w="5083"/>
            <w:vAlign w:val="top"/>
            <w:tcMar>
              <w:top w:w="80" w:type="dxa"/>
              <w:start w:w="90" w:type="dxa"/>
              <w:bottom w:w="80" w:type="dxa"/>
              <w:end w:w="90" w:type="dxa"/>
            </w:tcMar>
          </w:tcPr>
          <w:p>
            <w:pPr>
              <w:spacing w:after="40"/>
            </w:pPr>
            <w:r>
              <w:rPr>
                <w:sz w:val="18"/>
              </w:rPr>
              <w:t>Ask whether you are helping or rescuing. Return appropriate responsibility and build a team.</w:t>
            </w:r>
          </w:p>
        </w:tc>
      </w:tr>
    </w:tbl>
    <w:p>
      <w:pPr>
        <w:pStyle w:val="Heading1"/>
        <w:pageBreakBefore/>
      </w:pPr>
      <w:r>
        <w:t>One-Page Quick Reference — Words That Create Safety</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Avoid</w:t>
            </w:r>
          </w:p>
        </w:tc>
        <w:tc>
          <w:tcPr>
            <w:tcW w:type="dxa" w:w="5083"/>
            <w:shd w:fill="6B4FA1"/>
          </w:tcPr>
          <w:p>
            <w:r>
              <w:rPr>
                <w:b/>
                <w:color w:val="FFFFFF"/>
              </w:rPr>
              <w:t>Use</w:t>
            </w:r>
          </w:p>
        </w:tc>
      </w:tr>
      <w:tr>
        <w:tc>
          <w:tcPr>
            <w:tcW w:type="dxa" w:w="5083"/>
            <w:vAlign w:val="top"/>
            <w:tcMar>
              <w:top w:w="80" w:type="dxa"/>
              <w:start w:w="90" w:type="dxa"/>
              <w:bottom w:w="80" w:type="dxa"/>
              <w:end w:w="90" w:type="dxa"/>
            </w:tcMar>
          </w:tcPr>
          <w:p>
            <w:pPr>
              <w:spacing w:after="40"/>
            </w:pPr>
            <w:r>
              <w:rPr>
                <w:sz w:val="18"/>
              </w:rPr>
              <w:t>Instead of “Why would you do that?”</w:t>
            </w:r>
          </w:p>
        </w:tc>
        <w:tc>
          <w:tcPr>
            <w:tcW w:type="dxa" w:w="5083"/>
            <w:vAlign w:val="top"/>
            <w:tcMar>
              <w:top w:w="80" w:type="dxa"/>
              <w:start w:w="90" w:type="dxa"/>
              <w:bottom w:w="80" w:type="dxa"/>
              <w:end w:w="90" w:type="dxa"/>
            </w:tcMar>
          </w:tcPr>
          <w:p>
            <w:pPr>
              <w:spacing w:after="40"/>
            </w:pPr>
            <w:r>
              <w:rPr>
                <w:sz w:val="18"/>
              </w:rPr>
              <w:t>Try: “Help me understand what was happening for you.”</w:t>
            </w:r>
          </w:p>
        </w:tc>
      </w:tr>
      <w:tr>
        <w:tc>
          <w:tcPr>
            <w:tcW w:type="dxa" w:w="5083"/>
            <w:vAlign w:val="top"/>
            <w:tcMar>
              <w:top w:w="80" w:type="dxa"/>
              <w:start w:w="90" w:type="dxa"/>
              <w:bottom w:w="80" w:type="dxa"/>
              <w:end w:w="90" w:type="dxa"/>
            </w:tcMar>
          </w:tcPr>
          <w:p>
            <w:pPr>
              <w:spacing w:after="40"/>
            </w:pPr>
            <w:r>
              <w:rPr>
                <w:sz w:val="18"/>
              </w:rPr>
              <w:t>Instead of “Just pray about it.”</w:t>
            </w:r>
          </w:p>
        </w:tc>
        <w:tc>
          <w:tcPr>
            <w:tcW w:type="dxa" w:w="5083"/>
            <w:vAlign w:val="top"/>
            <w:tcMar>
              <w:top w:w="80" w:type="dxa"/>
              <w:start w:w="90" w:type="dxa"/>
              <w:bottom w:w="80" w:type="dxa"/>
              <w:end w:w="90" w:type="dxa"/>
            </w:tcMar>
          </w:tcPr>
          <w:p>
            <w:pPr>
              <w:spacing w:after="40"/>
            </w:pPr>
            <w:r>
              <w:rPr>
                <w:sz w:val="18"/>
              </w:rPr>
              <w:t>Try: “Let’s pray, and let’s also talk about what support you need.”</w:t>
            </w:r>
          </w:p>
        </w:tc>
      </w:tr>
      <w:tr>
        <w:tc>
          <w:tcPr>
            <w:tcW w:type="dxa" w:w="5083"/>
            <w:vAlign w:val="top"/>
            <w:tcMar>
              <w:top w:w="80" w:type="dxa"/>
              <w:start w:w="90" w:type="dxa"/>
              <w:bottom w:w="80" w:type="dxa"/>
              <w:end w:w="90" w:type="dxa"/>
            </w:tcMar>
          </w:tcPr>
          <w:p>
            <w:pPr>
              <w:spacing w:after="40"/>
            </w:pPr>
            <w:r>
              <w:rPr>
                <w:sz w:val="18"/>
              </w:rPr>
              <w:t>Instead of “You need to be strong.”</w:t>
            </w:r>
          </w:p>
        </w:tc>
        <w:tc>
          <w:tcPr>
            <w:tcW w:type="dxa" w:w="5083"/>
            <w:vAlign w:val="top"/>
            <w:tcMar>
              <w:top w:w="80" w:type="dxa"/>
              <w:start w:w="90" w:type="dxa"/>
              <w:bottom w:w="80" w:type="dxa"/>
              <w:end w:w="90" w:type="dxa"/>
            </w:tcMar>
          </w:tcPr>
          <w:p>
            <w:pPr>
              <w:spacing w:after="40"/>
            </w:pPr>
            <w:r>
              <w:rPr>
                <w:sz w:val="18"/>
              </w:rPr>
              <w:t>Try: “You do not have to perform strength with me.”</w:t>
            </w:r>
          </w:p>
        </w:tc>
      </w:tr>
      <w:tr>
        <w:tc>
          <w:tcPr>
            <w:tcW w:type="dxa" w:w="5083"/>
            <w:vAlign w:val="top"/>
            <w:tcMar>
              <w:top w:w="80" w:type="dxa"/>
              <w:start w:w="90" w:type="dxa"/>
              <w:bottom w:w="80" w:type="dxa"/>
              <w:end w:w="90" w:type="dxa"/>
            </w:tcMar>
          </w:tcPr>
          <w:p>
            <w:pPr>
              <w:spacing w:after="40"/>
            </w:pPr>
            <w:r>
              <w:rPr>
                <w:sz w:val="18"/>
              </w:rPr>
              <w:t>Instead of “You should be over it.”</w:t>
            </w:r>
          </w:p>
        </w:tc>
        <w:tc>
          <w:tcPr>
            <w:tcW w:type="dxa" w:w="5083"/>
            <w:vAlign w:val="top"/>
            <w:tcMar>
              <w:top w:w="80" w:type="dxa"/>
              <w:start w:w="90" w:type="dxa"/>
              <w:bottom w:w="80" w:type="dxa"/>
              <w:end w:w="90" w:type="dxa"/>
            </w:tcMar>
          </w:tcPr>
          <w:p>
            <w:pPr>
              <w:spacing w:after="40"/>
            </w:pPr>
            <w:r>
              <w:rPr>
                <w:sz w:val="18"/>
              </w:rPr>
              <w:t>Try: “Grief does not follow our timetable.”</w:t>
            </w:r>
          </w:p>
        </w:tc>
      </w:tr>
      <w:tr>
        <w:tc>
          <w:tcPr>
            <w:tcW w:type="dxa" w:w="5083"/>
            <w:vAlign w:val="top"/>
            <w:tcMar>
              <w:top w:w="80" w:type="dxa"/>
              <w:start w:w="90" w:type="dxa"/>
              <w:bottom w:w="80" w:type="dxa"/>
              <w:end w:w="90" w:type="dxa"/>
            </w:tcMar>
          </w:tcPr>
          <w:p>
            <w:pPr>
              <w:spacing w:after="40"/>
            </w:pPr>
            <w:r>
              <w:rPr>
                <w:sz w:val="18"/>
              </w:rPr>
              <w:t>Instead of “I’ll fix it.”</w:t>
            </w:r>
          </w:p>
        </w:tc>
        <w:tc>
          <w:tcPr>
            <w:tcW w:type="dxa" w:w="5083"/>
            <w:vAlign w:val="top"/>
            <w:tcMar>
              <w:top w:w="80" w:type="dxa"/>
              <w:start w:w="90" w:type="dxa"/>
              <w:bottom w:w="80" w:type="dxa"/>
              <w:end w:w="90" w:type="dxa"/>
            </w:tcMar>
          </w:tcPr>
          <w:p>
            <w:pPr>
              <w:spacing w:after="40"/>
            </w:pPr>
            <w:r>
              <w:rPr>
                <w:sz w:val="18"/>
              </w:rPr>
              <w:t>Try: “I’ll help you think through the next step.”</w:t>
            </w:r>
          </w:p>
        </w:tc>
      </w:tr>
      <w:tr>
        <w:tc>
          <w:tcPr>
            <w:tcW w:type="dxa" w:w="5083"/>
            <w:vAlign w:val="top"/>
            <w:tcMar>
              <w:top w:w="80" w:type="dxa"/>
              <w:start w:w="90" w:type="dxa"/>
              <w:bottom w:w="80" w:type="dxa"/>
              <w:end w:w="90" w:type="dxa"/>
            </w:tcMar>
          </w:tcPr>
          <w:p>
            <w:pPr>
              <w:spacing w:after="40"/>
            </w:pPr>
            <w:r>
              <w:rPr>
                <w:sz w:val="18"/>
              </w:rPr>
              <w:t>Instead of “Don’t tell anyone.”</w:t>
            </w:r>
          </w:p>
        </w:tc>
        <w:tc>
          <w:tcPr>
            <w:tcW w:type="dxa" w:w="5083"/>
            <w:vAlign w:val="top"/>
            <w:tcMar>
              <w:top w:w="80" w:type="dxa"/>
              <w:start w:w="90" w:type="dxa"/>
              <w:bottom w:w="80" w:type="dxa"/>
              <w:end w:w="90" w:type="dxa"/>
            </w:tcMar>
          </w:tcPr>
          <w:p>
            <w:pPr>
              <w:spacing w:after="40"/>
            </w:pPr>
            <w:r>
              <w:rPr>
                <w:sz w:val="18"/>
              </w:rPr>
              <w:t>Try: “Let’s decide who is safe and appropriate to include.”</w:t>
            </w:r>
          </w:p>
        </w:tc>
      </w:tr>
      <w:tr>
        <w:tc>
          <w:tcPr>
            <w:tcW w:type="dxa" w:w="5083"/>
            <w:vAlign w:val="top"/>
            <w:tcMar>
              <w:top w:w="80" w:type="dxa"/>
              <w:start w:w="90" w:type="dxa"/>
              <w:bottom w:w="80" w:type="dxa"/>
              <w:end w:w="90" w:type="dxa"/>
            </w:tcMar>
          </w:tcPr>
          <w:p>
            <w:pPr>
              <w:spacing w:after="40"/>
            </w:pPr>
            <w:r>
              <w:rPr>
                <w:sz w:val="18"/>
              </w:rPr>
              <w:t>Instead of “Therapy means you don’t trust God.”</w:t>
            </w:r>
          </w:p>
        </w:tc>
        <w:tc>
          <w:tcPr>
            <w:tcW w:type="dxa" w:w="5083"/>
            <w:vAlign w:val="top"/>
            <w:tcMar>
              <w:top w:w="80" w:type="dxa"/>
              <w:start w:w="90" w:type="dxa"/>
              <w:bottom w:w="80" w:type="dxa"/>
              <w:end w:w="90" w:type="dxa"/>
            </w:tcMar>
          </w:tcPr>
          <w:p>
            <w:pPr>
              <w:spacing w:after="40"/>
            </w:pPr>
            <w:r>
              <w:rPr>
                <w:sz w:val="18"/>
              </w:rPr>
              <w:t>Try: “Professional care and spiritual care can work together.”</w:t>
            </w:r>
          </w:p>
        </w:tc>
      </w:tr>
      <w:tr>
        <w:tc>
          <w:tcPr>
            <w:tcW w:type="dxa" w:w="5083"/>
            <w:vAlign w:val="top"/>
            <w:tcMar>
              <w:top w:w="80" w:type="dxa"/>
              <w:start w:w="90" w:type="dxa"/>
              <w:bottom w:w="80" w:type="dxa"/>
              <w:end w:w="90" w:type="dxa"/>
            </w:tcMar>
          </w:tcPr>
          <w:p>
            <w:pPr>
              <w:spacing w:after="40"/>
            </w:pPr>
            <w:r>
              <w:rPr>
                <w:sz w:val="18"/>
              </w:rPr>
              <w:t>Instead of “I’m always available.”</w:t>
            </w:r>
          </w:p>
        </w:tc>
        <w:tc>
          <w:tcPr>
            <w:tcW w:type="dxa" w:w="5083"/>
            <w:vAlign w:val="top"/>
            <w:tcMar>
              <w:top w:w="80" w:type="dxa"/>
              <w:start w:w="90" w:type="dxa"/>
              <w:bottom w:w="80" w:type="dxa"/>
              <w:end w:w="90" w:type="dxa"/>
            </w:tcMar>
          </w:tcPr>
          <w:p>
            <w:pPr>
              <w:spacing w:after="40"/>
            </w:pPr>
            <w:r>
              <w:rPr>
                <w:sz w:val="18"/>
              </w:rPr>
              <w:t>Try: “Here is when I’m available, and here is what to do in a crisis.”</w:t>
            </w:r>
          </w:p>
        </w:tc>
      </w:tr>
    </w:tbl>
    <w:p>
      <w:pPr>
        <w:pStyle w:val="Heading1"/>
        <w:pageBreakBefore/>
      </w:pPr>
      <w:r>
        <w:t>90-Minute Beyond the Alter Care Team Training Plan</w:t>
      </w:r>
    </w:p>
    <w:p>
      <w:r>
        <w:rPr>
          <w:i w:val="0"/>
        </w:rPr>
        <w:t>This outline turns the toolkit into a repeatable church training session.</w:t>
      </w:r>
    </w:p>
    <w:tbl>
      <w:tblPr>
        <w:tblStyle w:val="TableGrid"/>
        <w:tblW w:type="auto" w:w="0"/>
        <w:jc w:val="center"/>
        <w:tblLook w:firstColumn="1" w:firstRow="1" w:lastColumn="0" w:lastRow="0" w:noHBand="0" w:noVBand="1" w:val="04A0"/>
      </w:tblPr>
      <w:tblGrid>
        <w:gridCol w:w="5083"/>
        <w:gridCol w:w="5083"/>
      </w:tblGrid>
      <w:tr>
        <w:tc>
          <w:tcPr>
            <w:tcW w:type="dxa" w:w="5083"/>
            <w:shd w:fill="6B4FA1"/>
          </w:tcPr>
          <w:p>
            <w:r>
              <w:rPr>
                <w:b/>
                <w:color w:val="FFFFFF"/>
              </w:rPr>
              <w:t>Time</w:t>
            </w:r>
          </w:p>
        </w:tc>
        <w:tc>
          <w:tcPr>
            <w:tcW w:type="dxa" w:w="5083"/>
            <w:shd w:fill="6B4FA1"/>
          </w:tcPr>
          <w:p>
            <w:r>
              <w:rPr>
                <w:b/>
                <w:color w:val="FFFFFF"/>
              </w:rPr>
              <w:t>Focus</w:t>
            </w:r>
          </w:p>
        </w:tc>
      </w:tr>
      <w:tr>
        <w:tc>
          <w:tcPr>
            <w:tcW w:type="dxa" w:w="5083"/>
            <w:vAlign w:val="top"/>
            <w:tcMar>
              <w:top w:w="80" w:type="dxa"/>
              <w:start w:w="90" w:type="dxa"/>
              <w:bottom w:w="80" w:type="dxa"/>
              <w:end w:w="90" w:type="dxa"/>
            </w:tcMar>
          </w:tcPr>
          <w:p>
            <w:pPr>
              <w:spacing w:after="40"/>
            </w:pPr>
            <w:r>
              <w:rPr>
                <w:sz w:val="18"/>
              </w:rPr>
              <w:t>0–10 min</w:t>
            </w:r>
          </w:p>
        </w:tc>
        <w:tc>
          <w:tcPr>
            <w:tcW w:type="dxa" w:w="5083"/>
            <w:vAlign w:val="top"/>
            <w:tcMar>
              <w:top w:w="80" w:type="dxa"/>
              <w:start w:w="90" w:type="dxa"/>
              <w:bottom w:w="80" w:type="dxa"/>
              <w:end w:w="90" w:type="dxa"/>
            </w:tcMar>
          </w:tcPr>
          <w:p>
            <w:pPr>
              <w:spacing w:after="40"/>
            </w:pPr>
            <w:r>
              <w:rPr>
                <w:sz w:val="18"/>
              </w:rPr>
              <w:t>Why Beyond the Alter: the altar may begin a process; care continues after the moment.</w:t>
            </w:r>
          </w:p>
        </w:tc>
      </w:tr>
      <w:tr>
        <w:tc>
          <w:tcPr>
            <w:tcW w:type="dxa" w:w="5083"/>
            <w:vAlign w:val="top"/>
            <w:tcMar>
              <w:top w:w="80" w:type="dxa"/>
              <w:start w:w="90" w:type="dxa"/>
              <w:bottom w:w="80" w:type="dxa"/>
              <w:end w:w="90" w:type="dxa"/>
            </w:tcMar>
          </w:tcPr>
          <w:p>
            <w:pPr>
              <w:spacing w:after="40"/>
            </w:pPr>
            <w:r>
              <w:rPr>
                <w:sz w:val="18"/>
              </w:rPr>
              <w:t>10–25 min</w:t>
            </w:r>
          </w:p>
        </w:tc>
        <w:tc>
          <w:tcPr>
            <w:tcW w:type="dxa" w:w="5083"/>
            <w:vAlign w:val="top"/>
            <w:tcMar>
              <w:top w:w="80" w:type="dxa"/>
              <w:start w:w="90" w:type="dxa"/>
              <w:bottom w:w="80" w:type="dxa"/>
              <w:end w:w="90" w:type="dxa"/>
            </w:tcMar>
          </w:tcPr>
          <w:p>
            <w:pPr>
              <w:spacing w:after="40"/>
            </w:pPr>
            <w:r>
              <w:rPr>
                <w:sz w:val="18"/>
              </w:rPr>
              <w:t>RISE framework: recognize, intervene/implement, steward, empower.</w:t>
            </w:r>
          </w:p>
        </w:tc>
      </w:tr>
      <w:tr>
        <w:tc>
          <w:tcPr>
            <w:tcW w:type="dxa" w:w="5083"/>
            <w:vAlign w:val="top"/>
            <w:tcMar>
              <w:top w:w="80" w:type="dxa"/>
              <w:start w:w="90" w:type="dxa"/>
              <w:bottom w:w="80" w:type="dxa"/>
              <w:end w:w="90" w:type="dxa"/>
            </w:tcMar>
          </w:tcPr>
          <w:p>
            <w:pPr>
              <w:spacing w:after="40"/>
            </w:pPr>
            <w:r>
              <w:rPr>
                <w:sz w:val="18"/>
              </w:rPr>
              <w:t>25–35 min</w:t>
            </w:r>
          </w:p>
        </w:tc>
        <w:tc>
          <w:tcPr>
            <w:tcW w:type="dxa" w:w="5083"/>
            <w:vAlign w:val="top"/>
            <w:tcMar>
              <w:top w:w="80" w:type="dxa"/>
              <w:start w:w="90" w:type="dxa"/>
              <w:bottom w:w="80" w:type="dxa"/>
              <w:end w:w="90" w:type="dxa"/>
            </w:tcMar>
          </w:tcPr>
          <w:p>
            <w:pPr>
              <w:spacing w:after="40"/>
            </w:pPr>
            <w:r>
              <w:rPr>
                <w:sz w:val="18"/>
              </w:rPr>
              <w:t>Carry Well / 3C and helping vs. rescuing.</w:t>
            </w:r>
          </w:p>
        </w:tc>
      </w:tr>
      <w:tr>
        <w:tc>
          <w:tcPr>
            <w:tcW w:type="dxa" w:w="5083"/>
            <w:vAlign w:val="top"/>
            <w:tcMar>
              <w:top w:w="80" w:type="dxa"/>
              <w:start w:w="90" w:type="dxa"/>
              <w:bottom w:w="80" w:type="dxa"/>
              <w:end w:w="90" w:type="dxa"/>
            </w:tcMar>
          </w:tcPr>
          <w:p>
            <w:pPr>
              <w:spacing w:after="40"/>
            </w:pPr>
            <w:r>
              <w:rPr>
                <w:sz w:val="18"/>
              </w:rPr>
              <w:t>35–50 min</w:t>
            </w:r>
          </w:p>
        </w:tc>
        <w:tc>
          <w:tcPr>
            <w:tcW w:type="dxa" w:w="5083"/>
            <w:vAlign w:val="top"/>
            <w:tcMar>
              <w:top w:w="80" w:type="dxa"/>
              <w:start w:w="90" w:type="dxa"/>
              <w:bottom w:w="80" w:type="dxa"/>
              <w:end w:w="90" w:type="dxa"/>
            </w:tcMar>
          </w:tcPr>
          <w:p>
            <w:pPr>
              <w:spacing w:after="40"/>
            </w:pPr>
            <w:r>
              <w:rPr>
                <w:sz w:val="18"/>
              </w:rPr>
              <w:t>Warning signs, safety questions, 988 vs. 911, referral thresholds.</w:t>
            </w:r>
          </w:p>
        </w:tc>
      </w:tr>
      <w:tr>
        <w:tc>
          <w:tcPr>
            <w:tcW w:type="dxa" w:w="5083"/>
            <w:vAlign w:val="top"/>
            <w:tcMar>
              <w:top w:w="80" w:type="dxa"/>
              <w:start w:w="90" w:type="dxa"/>
              <w:bottom w:w="80" w:type="dxa"/>
              <w:end w:w="90" w:type="dxa"/>
            </w:tcMar>
          </w:tcPr>
          <w:p>
            <w:pPr>
              <w:spacing w:after="40"/>
            </w:pPr>
            <w:r>
              <w:rPr>
                <w:sz w:val="18"/>
              </w:rPr>
              <w:t>50–65 min</w:t>
            </w:r>
          </w:p>
        </w:tc>
        <w:tc>
          <w:tcPr>
            <w:tcW w:type="dxa" w:w="5083"/>
            <w:vAlign w:val="top"/>
            <w:tcMar>
              <w:top w:w="80" w:type="dxa"/>
              <w:start w:w="90" w:type="dxa"/>
              <w:bottom w:w="80" w:type="dxa"/>
              <w:end w:w="90" w:type="dxa"/>
            </w:tcMar>
          </w:tcPr>
          <w:p>
            <w:pPr>
              <w:spacing w:after="40"/>
            </w:pPr>
            <w:r>
              <w:rPr>
                <w:sz w:val="18"/>
              </w:rPr>
              <w:t>Scripts: grief, referral, boundaries, privacy, suicide concern.</w:t>
            </w:r>
          </w:p>
        </w:tc>
      </w:tr>
      <w:tr>
        <w:tc>
          <w:tcPr>
            <w:tcW w:type="dxa" w:w="5083"/>
            <w:vAlign w:val="top"/>
            <w:tcMar>
              <w:top w:w="80" w:type="dxa"/>
              <w:start w:w="90" w:type="dxa"/>
              <w:bottom w:w="80" w:type="dxa"/>
              <w:end w:w="90" w:type="dxa"/>
            </w:tcMar>
          </w:tcPr>
          <w:p>
            <w:pPr>
              <w:spacing w:after="40"/>
            </w:pPr>
            <w:r>
              <w:rPr>
                <w:sz w:val="18"/>
              </w:rPr>
              <w:t>65–80 min</w:t>
            </w:r>
          </w:p>
        </w:tc>
        <w:tc>
          <w:tcPr>
            <w:tcW w:type="dxa" w:w="5083"/>
            <w:vAlign w:val="top"/>
            <w:tcMar>
              <w:top w:w="80" w:type="dxa"/>
              <w:start w:w="90" w:type="dxa"/>
              <w:bottom w:w="80" w:type="dxa"/>
              <w:end w:w="90" w:type="dxa"/>
            </w:tcMar>
          </w:tcPr>
          <w:p>
            <w:pPr>
              <w:spacing w:after="40"/>
            </w:pPr>
            <w:r>
              <w:rPr>
                <w:sz w:val="18"/>
              </w:rPr>
              <w:t>Case study practice in groups.</w:t>
            </w:r>
          </w:p>
        </w:tc>
      </w:tr>
      <w:tr>
        <w:tc>
          <w:tcPr>
            <w:tcW w:type="dxa" w:w="5083"/>
            <w:vAlign w:val="top"/>
            <w:tcMar>
              <w:top w:w="80" w:type="dxa"/>
              <w:start w:w="90" w:type="dxa"/>
              <w:bottom w:w="80" w:type="dxa"/>
              <w:end w:w="90" w:type="dxa"/>
            </w:tcMar>
          </w:tcPr>
          <w:p>
            <w:pPr>
              <w:spacing w:after="40"/>
            </w:pPr>
            <w:r>
              <w:rPr>
                <w:sz w:val="18"/>
              </w:rPr>
              <w:t>80–88 min</w:t>
            </w:r>
          </w:p>
        </w:tc>
        <w:tc>
          <w:tcPr>
            <w:tcW w:type="dxa" w:w="5083"/>
            <w:vAlign w:val="top"/>
            <w:tcMar>
              <w:top w:w="80" w:type="dxa"/>
              <w:start w:w="90" w:type="dxa"/>
              <w:bottom w:w="80" w:type="dxa"/>
              <w:end w:w="90" w:type="dxa"/>
            </w:tcMar>
          </w:tcPr>
          <w:p>
            <w:pPr>
              <w:spacing w:after="40"/>
            </w:pPr>
            <w:r>
              <w:rPr>
                <w:sz w:val="18"/>
              </w:rPr>
              <w:t>Church escalation map and referral network.</w:t>
            </w:r>
          </w:p>
        </w:tc>
      </w:tr>
      <w:tr>
        <w:tc>
          <w:tcPr>
            <w:tcW w:type="dxa" w:w="5083"/>
            <w:vAlign w:val="top"/>
            <w:tcMar>
              <w:top w:w="80" w:type="dxa"/>
              <w:start w:w="90" w:type="dxa"/>
              <w:bottom w:w="80" w:type="dxa"/>
              <w:end w:w="90" w:type="dxa"/>
            </w:tcMar>
          </w:tcPr>
          <w:p>
            <w:pPr>
              <w:spacing w:after="40"/>
            </w:pPr>
            <w:r>
              <w:rPr>
                <w:sz w:val="18"/>
              </w:rPr>
              <w:t>88–90 min</w:t>
            </w:r>
          </w:p>
        </w:tc>
        <w:tc>
          <w:tcPr>
            <w:tcW w:type="dxa" w:w="5083"/>
            <w:vAlign w:val="top"/>
            <w:tcMar>
              <w:top w:w="80" w:type="dxa"/>
              <w:start w:w="90" w:type="dxa"/>
              <w:bottom w:w="80" w:type="dxa"/>
              <w:end w:w="90" w:type="dxa"/>
            </w:tcMar>
          </w:tcPr>
          <w:p>
            <w:pPr>
              <w:spacing w:after="40"/>
            </w:pPr>
            <w:r>
              <w:rPr>
                <w:sz w:val="18"/>
              </w:rPr>
              <w:t>Caregiver stewardship commitment and closing prayer.</w:t>
            </w:r>
          </w:p>
        </w:tc>
      </w:tr>
    </w:tbl>
    <w:p>
      <w:pPr>
        <w:pStyle w:val="Heading2"/>
      </w:pPr>
      <w:r>
        <w:t>Training Commitment</w:t>
      </w:r>
    </w:p>
    <w:p>
      <w:r>
        <w:rPr>
          <w:b/>
        </w:rPr>
        <w:t>One thing I will recognize sooner:</w:t>
      </w:r>
    </w:p>
    <w:p>
      <w:pPr>
        <w:spacing w:after="40"/>
      </w:pPr>
      <w:r>
        <w:rPr>
          <w:color w:val="AAAAAA"/>
          <w:sz w:val="16"/>
        </w:rPr>
        <w:t>________________________________________________________________________________</w:t>
      </w:r>
    </w:p>
    <w:p>
      <w:r>
        <w:rPr>
          <w:b/>
        </w:rPr>
        <w:t>One phrase I will stop saying:</w:t>
      </w:r>
    </w:p>
    <w:p>
      <w:pPr>
        <w:spacing w:after="40"/>
      </w:pPr>
      <w:r>
        <w:rPr>
          <w:color w:val="AAAAAA"/>
          <w:sz w:val="16"/>
        </w:rPr>
        <w:t>________________________________________________________________________________</w:t>
      </w:r>
    </w:p>
    <w:p>
      <w:r>
        <w:rPr>
          <w:b/>
        </w:rPr>
        <w:t>One boundary I will honor:</w:t>
      </w:r>
    </w:p>
    <w:p>
      <w:pPr>
        <w:spacing w:after="40"/>
      </w:pPr>
      <w:r>
        <w:rPr>
          <w:color w:val="AAAAAA"/>
          <w:sz w:val="16"/>
        </w:rPr>
        <w:t>________________________________________________________________________________</w:t>
      </w:r>
    </w:p>
    <w:p>
      <w:r>
        <w:rPr>
          <w:b/>
        </w:rPr>
        <w:t>One referral resource I will verify:</w:t>
      </w:r>
    </w:p>
    <w:p>
      <w:pPr>
        <w:spacing w:after="40"/>
      </w:pPr>
      <w:r>
        <w:rPr>
          <w:color w:val="AAAAAA"/>
          <w:sz w:val="16"/>
        </w:rPr>
        <w:t>________________________________________________________________________________</w:t>
      </w:r>
    </w:p>
    <w:p>
      <w:r>
        <w:rPr>
          <w:b/>
        </w:rPr>
        <w:t>One way I will protect my own lamp:</w:t>
      </w:r>
    </w:p>
    <w:p>
      <w:pPr>
        <w:spacing w:after="40"/>
      </w:pPr>
      <w:r>
        <w:rPr>
          <w:color w:val="AAAAAA"/>
          <w:sz w:val="16"/>
        </w:rPr>
        <w:t>________________________________________________________________________________</w:t>
      </w:r>
    </w:p>
    <w:p>
      <w:pPr>
        <w:pStyle w:val="Heading1"/>
        <w:pageBreakBefore/>
      </w:pPr>
      <w:r>
        <w:t>Source Foundation &amp; Publication Verification</w:t>
      </w:r>
    </w:p>
    <w:p>
      <w:r>
        <w:rPr>
          <w:i w:val="0"/>
        </w:rPr>
        <w:t>This toolkit is an editorial expansion built from Amethyst Roberson’s existing Beyond the Alter source material. The original teaching provides the spiritual-care frameworks, language, grief material, trauma concepts, caregiver discernment, warning-sign teaching, boundary emphasis, and RISE / 3C structure. Clinical and crisis details added for publication safety should remain clearly distinguished from prophetic revelation and pastoral teaching.</w:t>
      </w:r>
    </w:p>
    <w:p>
      <w:pPr>
        <w:pStyle w:val="Heading2"/>
      </w:pPr>
      <w:r>
        <w:t>Primary Amethyst Roberson Source Material Used</w:t>
      </w:r>
    </w:p>
    <w:p>
      <w:pPr>
        <w:pStyle w:val="ListBullet"/>
        <w:spacing w:after="40"/>
      </w:pPr>
      <w:r>
        <w:t>Carry Well 2026 — Capacity • Condition • Courage; the 3C Pause; Helping vs. Rescuing; “No is not rejection. It is alignment.”</w:t>
      </w:r>
    </w:p>
    <w:p>
      <w:pPr>
        <w:pStyle w:val="ListBullet"/>
        <w:spacing w:after="40"/>
      </w:pPr>
      <w:r>
        <w:t>RISE from Trauma — Recognize, Implement, Stewardship, Empower; trauma forms and responses; Capacity, Condition, Courage.</w:t>
      </w:r>
    </w:p>
    <w:p>
      <w:pPr>
        <w:pStyle w:val="ListBullet"/>
        <w:spacing w:after="40"/>
      </w:pPr>
      <w:r>
        <w:t>Understanding Mental Health Disorders — mental health vs. mental illness; distress/impairment; warning signs; how to help; when immediate help is needed.</w:t>
      </w:r>
    </w:p>
    <w:p>
      <w:pPr>
        <w:pStyle w:val="ListBullet"/>
        <w:spacing w:after="40"/>
      </w:pPr>
      <w:r>
        <w:t>Ministering to Emotionally Struggling Family Members During the Holidays — Capacity, Condition, Encourage; RISE; discernment; family-care questions; gentle presence.</w:t>
      </w:r>
    </w:p>
    <w:p>
      <w:pPr>
        <w:pStyle w:val="ListBullet"/>
        <w:spacing w:after="40"/>
      </w:pPr>
      <w:r>
        <w:t>Navigating Grief During the Holiday Season — grief types, primary/secondary loss, nonlinearity, boundaries, coping, compassion as understanding rather than fixing.</w:t>
      </w:r>
    </w:p>
    <w:p>
      <w:pPr>
        <w:pStyle w:val="ListBullet"/>
        <w:spacing w:after="40"/>
      </w:pPr>
      <w:r>
        <w:t>Stewarding Through Difficult Times — Proverbs 31 mental-health/self-care framework; presence in darkness; preparedness; protecting the lamp; kindness in speech.</w:t>
      </w:r>
    </w:p>
    <w:p>
      <w:pPr>
        <w:pStyle w:val="ListBullet"/>
        <w:spacing w:after="40"/>
      </w:pPr>
      <w:r>
        <w:t>A Prophetic Word From the Lord / Code Blue — RISE summons; root vs. fruit; stewardship; generational baton; “The future belongs to the healed.”</w:t>
      </w:r>
    </w:p>
    <w:p>
      <w:pPr>
        <w:pStyle w:val="Heading2"/>
      </w:pPr>
      <w:r>
        <w:t>External Safety &amp; Clinical Verification Sources</w:t>
      </w:r>
    </w:p>
    <w:p>
      <w:pPr>
        <w:pStyle w:val="ListBullet"/>
        <w:spacing w:after="40"/>
      </w:pPr>
      <w:r>
        <w:t>National Institute of Mental Health (NIMH): suicide warning signs and the five action steps—Ask, Be There, Help Keep Them Safe, Help Them Connect, Follow Up.</w:t>
      </w:r>
    </w:p>
    <w:p>
      <w:pPr>
        <w:pStyle w:val="ListBullet"/>
        <w:spacing w:after="40"/>
      </w:pPr>
      <w:r>
        <w:t>Substance Abuse and Mental Health Services Administration (SAMHSA): 988 guidance, suicide-prevention guidance, treatment locators, safety-plan resources, and trauma-informed principles.</w:t>
      </w:r>
    </w:p>
    <w:p>
      <w:pPr>
        <w:pStyle w:val="ListBullet"/>
        <w:spacing w:after="40"/>
      </w:pPr>
      <w:r>
        <w:t>988 Suicide &amp; Crisis Lifeline: guidance for helping someone else, including direct conversation, nonjudgmental listening, not promising secrecy, and contacting 988.</w:t>
      </w:r>
    </w:p>
    <w:p>
      <w:pPr>
        <w:pStyle w:val="ListBullet"/>
        <w:spacing w:after="40"/>
      </w:pPr>
      <w:r>
        <w:t>Child Welfare Information Gateway: state-by-state clergy mandatory-reporting and privilege information.</w:t>
      </w:r>
    </w:p>
    <w:p>
      <w:pPr>
        <w:pStyle w:val="ListBullet"/>
        <w:spacing w:after="40"/>
      </w:pPr>
      <w:r>
        <w:t>National Domestic Violence Hotline: safety-planning guidance and caution about joint counseling in abusive relationships.</w:t>
      </w:r>
    </w:p>
    <w:p>
      <w:pPr>
        <w:pStyle w:val="Heading2"/>
      </w:pPr>
      <w:r>
        <w:t>Before Publication, Verify</w:t>
      </w:r>
    </w:p>
    <w:p>
      <w:pPr>
        <w:pStyle w:val="ListBullet"/>
        <w:spacing w:after="40"/>
      </w:pPr>
      <w:r>
        <w:t>All Scripture quotations, translation names, and permissions.</w:t>
      </w:r>
    </w:p>
    <w:p>
      <w:pPr>
        <w:pStyle w:val="ListBullet"/>
        <w:spacing w:after="40"/>
      </w:pPr>
      <w:r>
        <w:t>All statistics and generational claims appearing elsewhere in the manuscript.</w:t>
      </w:r>
    </w:p>
    <w:p>
      <w:pPr>
        <w:pStyle w:val="ListBullet"/>
        <w:spacing w:after="40"/>
      </w:pPr>
      <w:r>
        <w:t>Current 988 / 911 / treatment-resource wording for the edition’s country and region.</w:t>
      </w:r>
    </w:p>
    <w:p>
      <w:pPr>
        <w:pStyle w:val="ListBullet"/>
        <w:spacing w:after="40"/>
      </w:pPr>
      <w:r>
        <w:t>State-specific mandatory-reporting and clergy-privilege information.</w:t>
      </w:r>
    </w:p>
    <w:p>
      <w:pPr>
        <w:pStyle w:val="ListBullet"/>
        <w:spacing w:after="40"/>
      </w:pPr>
      <w:r>
        <w:t>Domestic-violence, child-safety, and vulnerable-adult procedures.</w:t>
      </w:r>
    </w:p>
    <w:p>
      <w:pPr>
        <w:pStyle w:val="ListBullet"/>
        <w:spacing w:after="40"/>
      </w:pPr>
      <w:r>
        <w:t>Professional licensure/credential wording in the author bio.</w:t>
      </w:r>
    </w:p>
    <w:p>
      <w:pPr>
        <w:pStyle w:val="ListBullet"/>
        <w:spacing w:after="40"/>
      </w:pPr>
      <w:r>
        <w:t>Church documentation, privacy, insurance, and legal-risk policies.</w:t>
      </w:r>
    </w:p>
    <w:p>
      <w:pPr>
        <w:pStyle w:val="Heading1"/>
        <w:pageBreakBefore/>
      </w:pPr>
      <w:r>
        <w:t>Closing Charge — From Seeing to Responding</w:t>
      </w:r>
    </w:p>
    <w:p>
      <w:r>
        <w:rPr>
          <w:i w:val="0"/>
        </w:rPr>
        <w:t>The purpose of this toolkit is not to make the Church clinically omniscient. It is to make care more prepared, compassionate, discerning, and responsible.</w:t>
      </w:r>
    </w:p>
    <w:p>
      <w:r>
        <w:rPr>
          <w:i w:val="0"/>
        </w:rPr>
        <w:t>The book changes how we see.</w:t>
      </w:r>
    </w:p>
    <w:p>
      <w:r>
        <w:rPr>
          <w:i w:val="0"/>
        </w:rPr>
        <w:t>The revelations change how we understand.</w:t>
      </w:r>
    </w:p>
    <w:p>
      <w:r>
        <w:rPr>
          <w:i w:val="0"/>
        </w:rPr>
        <w:t>The toolkit changes how we respond.</w:t>
      </w:r>
    </w:p>
    <w:tbl>
      <w:tblPr>
        <w:tblW w:type="auto" w:w="0"/>
        <w:jc w:val="center"/>
        <w:tblLayout w:type="autofit"/>
        <w:tblLook w:firstColumn="1" w:firstRow="1" w:lastColumn="0" w:lastRow="0" w:noHBand="0" w:noVBand="1" w:val="04A0"/>
      </w:tblPr>
      <w:tblGrid>
        <w:gridCol w:w="10166"/>
      </w:tblGrid>
      <w:tr>
        <w:tc>
          <w:tcPr>
            <w:tcW w:type="dxa" w:w="10166"/>
            <w:shd w:fill="F7F4FB"/>
            <w:tcMar>
              <w:top w:w="110" w:type="dxa"/>
              <w:start w:w="140" w:type="dxa"/>
              <w:bottom w:w="110" w:type="dxa"/>
              <w:end w:w="140" w:type="dxa"/>
            </w:tcMar>
          </w:tcPr>
          <w:p>
            <w:r>
              <w:rPr>
                <w:b/>
                <w:color w:val="6B4FA1"/>
                <w:sz w:val="18"/>
              </w:rPr>
              <w:t>BEYOND THE ALTER</w:t>
            </w:r>
          </w:p>
          <w:p>
            <w:r>
              <w:rPr>
                <w:b/>
                <w:sz w:val="22"/>
              </w:rPr>
              <w:t>When hurting people stand back up, may they find us prepared to walk with them—not only to the altar, but beyond it.</w:t>
            </w:r>
          </w:p>
        </w:tc>
      </w:tr>
    </w:tbl>
    <w:p>
      <w:pPr>
        <w:spacing w:after="0"/>
      </w:pP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 xml:space="preserve">Amethyst Roberson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666666"/>
        <w:sz w:val="16"/>
      </w:rPr>
      <w:t>BEYOND THE ALTER CARE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60"/>
      <w:outlineLvl w:val="0"/>
    </w:pPr>
    <w:rPr>
      <w:rFonts w:asciiTheme="majorHAnsi" w:eastAsiaTheme="majorEastAsia" w:hAnsiTheme="majorHAnsi" w:cstheme="majorBidi" w:ascii="Aptos Display" w:hAnsi="Aptos Display"/>
      <w:b/>
      <w:bCs/>
      <w:color w:val="6B4FA1"/>
      <w:sz w:val="40"/>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Display" w:hAnsi="Aptos Display"/>
      <w:b/>
      <w:bCs/>
      <w:color w:val="252525"/>
      <w:sz w:val="28"/>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w:hAnsi="Aptos"/>
      <w:b/>
      <w:bCs/>
      <w:color w:val="6B4FA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